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36CBE" w14:textId="40DACFDA" w:rsidR="00CF0403" w:rsidRPr="00DF15FE" w:rsidRDefault="00846F82">
      <w:pPr>
        <w:jc w:val="center"/>
      </w:pPr>
      <w:bookmarkStart w:id="0" w:name="heading-nodeId--245097714"/>
      <w:r w:rsidRPr="00DF15FE">
        <w:rPr>
          <w:b/>
          <w:color w:val="000000"/>
        </w:rPr>
        <w:t xml:space="preserve">OPPOSITION </w:t>
      </w:r>
      <w:proofErr w:type="spellStart"/>
      <w:r w:rsidRPr="00DF15FE">
        <w:rPr>
          <w:b/>
          <w:color w:val="000000"/>
        </w:rPr>
        <w:t>Nо</w:t>
      </w:r>
      <w:proofErr w:type="spellEnd"/>
      <w:r w:rsidRPr="00DF15FE">
        <w:rPr>
          <w:b/>
          <w:color w:val="000000"/>
        </w:rPr>
        <w:t> B 3 199 598</w:t>
      </w:r>
    </w:p>
    <w:p w14:paraId="482F96BB" w14:textId="1D1E8D92" w:rsidR="00CF0403" w:rsidRPr="00DF15FE" w:rsidRDefault="00846F82">
      <w:pPr>
        <w:jc w:val="center"/>
      </w:pPr>
      <w:r w:rsidRPr="00DF15FE">
        <w:rPr>
          <w:color w:val="000000"/>
        </w:rPr>
        <w:t> </w:t>
      </w:r>
    </w:p>
    <w:p w14:paraId="64B65860" w14:textId="01BF7C02" w:rsidR="00CF0403" w:rsidRPr="00DF15FE" w:rsidRDefault="00846F82">
      <w:pPr>
        <w:jc w:val="both"/>
      </w:pPr>
      <w:r w:rsidRPr="00DF15FE">
        <w:rPr>
          <w:b/>
          <w:color w:val="000000"/>
        </w:rPr>
        <w:t>Carolina Herrera Ltd</w:t>
      </w:r>
      <w:r w:rsidRPr="00DF15FE">
        <w:rPr>
          <w:color w:val="000000"/>
        </w:rPr>
        <w:t>, 501 Seventh Avenue, 17Th Floor, 10018 New York, United States (opponent), represented by</w:t>
      </w:r>
      <w:r w:rsidR="00DF15FE" w:rsidRPr="00DF15FE">
        <w:rPr>
          <w:color w:val="000000"/>
        </w:rPr>
        <w:t xml:space="preserve"> </w:t>
      </w:r>
      <w:proofErr w:type="spellStart"/>
      <w:r w:rsidRPr="00DF15FE">
        <w:rPr>
          <w:b/>
          <w:color w:val="000000"/>
        </w:rPr>
        <w:t>Curell</w:t>
      </w:r>
      <w:proofErr w:type="spellEnd"/>
      <w:r w:rsidRPr="00DF15FE">
        <w:rPr>
          <w:b/>
          <w:color w:val="000000"/>
        </w:rPr>
        <w:t xml:space="preserve"> </w:t>
      </w:r>
      <w:proofErr w:type="spellStart"/>
      <w:r w:rsidRPr="00DF15FE">
        <w:rPr>
          <w:b/>
          <w:color w:val="000000"/>
        </w:rPr>
        <w:t>Suñol</w:t>
      </w:r>
      <w:proofErr w:type="spellEnd"/>
      <w:r w:rsidRPr="00DF15FE">
        <w:rPr>
          <w:b/>
          <w:color w:val="000000"/>
        </w:rPr>
        <w:t xml:space="preserve"> S.L.P.</w:t>
      </w:r>
      <w:r w:rsidRPr="00DF15FE">
        <w:rPr>
          <w:color w:val="000000"/>
        </w:rPr>
        <w:t xml:space="preserve">, </w:t>
      </w:r>
      <w:proofErr w:type="spellStart"/>
      <w:r w:rsidRPr="00DF15FE">
        <w:rPr>
          <w:color w:val="000000"/>
        </w:rPr>
        <w:t>Muntaner</w:t>
      </w:r>
      <w:proofErr w:type="spellEnd"/>
      <w:r w:rsidRPr="00DF15FE">
        <w:rPr>
          <w:color w:val="000000"/>
        </w:rPr>
        <w:t>, 240 – 4º 2ª, 08021 Barcelona, Spain (professional representative) </w:t>
      </w:r>
    </w:p>
    <w:p w14:paraId="42694FEA" w14:textId="20C5C0A4" w:rsidR="00CF0403" w:rsidRPr="00DF15FE" w:rsidRDefault="00846F82">
      <w:pPr>
        <w:jc w:val="both"/>
      </w:pPr>
      <w:r w:rsidRPr="00DF15FE">
        <w:rPr>
          <w:color w:val="000000"/>
        </w:rPr>
        <w:t> </w:t>
      </w:r>
    </w:p>
    <w:p w14:paraId="5D2B9335" w14:textId="6AA074FB" w:rsidR="00CF0403" w:rsidRPr="00DF15FE" w:rsidRDefault="00846F82">
      <w:pPr>
        <w:jc w:val="center"/>
      </w:pPr>
      <w:r w:rsidRPr="00DF15FE">
        <w:rPr>
          <w:color w:val="000000"/>
        </w:rPr>
        <w:t>a g a</w:t>
      </w:r>
      <w:r w:rsidR="00DF15FE" w:rsidRPr="00DF15FE">
        <w:rPr>
          <w:color w:val="000000"/>
        </w:rPr>
        <w:t xml:space="preserve"> </w:t>
      </w:r>
      <w:proofErr w:type="spellStart"/>
      <w:proofErr w:type="gramStart"/>
      <w:r w:rsidRPr="00DF15FE">
        <w:rPr>
          <w:color w:val="000000"/>
        </w:rPr>
        <w:t>i</w:t>
      </w:r>
      <w:proofErr w:type="spellEnd"/>
      <w:r w:rsidR="00DF15FE" w:rsidRPr="00DF15FE">
        <w:rPr>
          <w:color w:val="000000"/>
        </w:rPr>
        <w:t xml:space="preserve"> </w:t>
      </w:r>
      <w:r w:rsidRPr="00DF15FE">
        <w:rPr>
          <w:color w:val="000000"/>
        </w:rPr>
        <w:t>n</w:t>
      </w:r>
      <w:proofErr w:type="gramEnd"/>
      <w:r w:rsidRPr="00DF15FE">
        <w:rPr>
          <w:color w:val="000000"/>
        </w:rPr>
        <w:t xml:space="preserve"> s t</w:t>
      </w:r>
    </w:p>
    <w:p w14:paraId="6BBB31DE" w14:textId="35B16F93" w:rsidR="00CF0403" w:rsidRPr="00DF15FE" w:rsidRDefault="00846F82">
      <w:pPr>
        <w:jc w:val="center"/>
      </w:pPr>
      <w:r w:rsidRPr="00DF15FE">
        <w:rPr>
          <w:color w:val="000000"/>
        </w:rPr>
        <w:t> </w:t>
      </w:r>
    </w:p>
    <w:p w14:paraId="1DF74277" w14:textId="77777777" w:rsidR="00DF15FE" w:rsidRPr="00DF15FE" w:rsidRDefault="00846F82">
      <w:pPr>
        <w:jc w:val="both"/>
      </w:pPr>
      <w:r w:rsidRPr="00DF15FE">
        <w:rPr>
          <w:b/>
          <w:color w:val="000000"/>
        </w:rPr>
        <w:t xml:space="preserve">Hangzhou </w:t>
      </w:r>
      <w:proofErr w:type="spellStart"/>
      <w:r w:rsidRPr="00DF15FE">
        <w:rPr>
          <w:b/>
          <w:color w:val="000000"/>
        </w:rPr>
        <w:t>Juejiang</w:t>
      </w:r>
      <w:proofErr w:type="spellEnd"/>
      <w:r w:rsidRPr="00DF15FE">
        <w:rPr>
          <w:b/>
          <w:color w:val="000000"/>
        </w:rPr>
        <w:t xml:space="preserve"> Brand Management Co., Ltd.</w:t>
      </w:r>
      <w:r w:rsidRPr="00DF15FE">
        <w:rPr>
          <w:color w:val="000000"/>
        </w:rPr>
        <w:t xml:space="preserve">, Room 1101, 11/f, Block A, </w:t>
      </w:r>
      <w:proofErr w:type="gramStart"/>
      <w:r w:rsidRPr="00DF15FE">
        <w:rPr>
          <w:color w:val="000000"/>
        </w:rPr>
        <w:t>Building</w:t>
      </w:r>
      <w:proofErr w:type="gramEnd"/>
      <w:r w:rsidRPr="00DF15FE">
        <w:rPr>
          <w:color w:val="000000"/>
        </w:rPr>
        <w:t xml:space="preserve"> 27, No. 9, </w:t>
      </w:r>
      <w:proofErr w:type="spellStart"/>
      <w:r w:rsidRPr="00DF15FE">
        <w:rPr>
          <w:color w:val="000000"/>
        </w:rPr>
        <w:t>Jiusheng</w:t>
      </w:r>
      <w:proofErr w:type="spellEnd"/>
      <w:r w:rsidRPr="00DF15FE">
        <w:rPr>
          <w:color w:val="000000"/>
        </w:rPr>
        <w:t xml:space="preserve"> Road, </w:t>
      </w:r>
      <w:proofErr w:type="spellStart"/>
      <w:r w:rsidRPr="00DF15FE">
        <w:rPr>
          <w:color w:val="000000"/>
        </w:rPr>
        <w:t>Shangcheng</w:t>
      </w:r>
      <w:proofErr w:type="spellEnd"/>
      <w:r w:rsidRPr="00DF15FE">
        <w:rPr>
          <w:color w:val="000000"/>
        </w:rPr>
        <w:t xml:space="preserve"> District, Hangzhou, Zhejiang, China (applicant), represented by</w:t>
      </w:r>
      <w:r w:rsidR="00DF15FE" w:rsidRPr="00DF15FE">
        <w:rPr>
          <w:color w:val="000000"/>
        </w:rPr>
        <w:t xml:space="preserve"> </w:t>
      </w:r>
      <w:proofErr w:type="spellStart"/>
      <w:r w:rsidRPr="00DF15FE">
        <w:rPr>
          <w:b/>
          <w:color w:val="000000"/>
        </w:rPr>
        <w:t>Sakellarides</w:t>
      </w:r>
      <w:proofErr w:type="spellEnd"/>
      <w:r w:rsidRPr="00DF15FE">
        <w:rPr>
          <w:b/>
          <w:color w:val="000000"/>
        </w:rPr>
        <w:t xml:space="preserve"> Law Offices</w:t>
      </w:r>
      <w:r w:rsidRPr="00DF15FE">
        <w:rPr>
          <w:color w:val="000000"/>
        </w:rPr>
        <w:t xml:space="preserve">, 70, </w:t>
      </w:r>
      <w:proofErr w:type="spellStart"/>
      <w:r w:rsidRPr="00DF15FE">
        <w:rPr>
          <w:color w:val="000000"/>
        </w:rPr>
        <w:t>Adrianou</w:t>
      </w:r>
      <w:proofErr w:type="spellEnd"/>
      <w:r w:rsidRPr="00DF15FE">
        <w:rPr>
          <w:color w:val="000000"/>
        </w:rPr>
        <w:t xml:space="preserve"> Street, 10556 Athens, Greece (professional representative).</w:t>
      </w:r>
    </w:p>
    <w:p w14:paraId="0FDDE556" w14:textId="31BD9D4F" w:rsidR="00DF15FE" w:rsidRPr="00DF15FE" w:rsidRDefault="00DF15FE">
      <w:pPr>
        <w:jc w:val="both"/>
      </w:pPr>
    </w:p>
    <w:p w14:paraId="0DE709AC" w14:textId="77777777" w:rsidR="00CF0403" w:rsidRPr="00DF15FE" w:rsidRDefault="00DF15FE">
      <w:r w:rsidRPr="00DF15FE">
        <w:t>On 03/07/2024, the Opposition Division takes the following</w:t>
      </w:r>
    </w:p>
    <w:p w14:paraId="255F9448" w14:textId="01B10053" w:rsidR="00CF0403" w:rsidRPr="00DF15FE" w:rsidRDefault="00846F82">
      <w:r w:rsidRPr="00DF15FE">
        <w:br/>
      </w:r>
      <w:r w:rsidRPr="00DF15FE">
        <w:rPr>
          <w:color w:val="000000"/>
        </w:rPr>
        <w:t> </w:t>
      </w:r>
    </w:p>
    <w:p w14:paraId="5EC851E4" w14:textId="77777777" w:rsidR="00CF0403" w:rsidRPr="00DF15FE" w:rsidRDefault="00846F82">
      <w:pPr>
        <w:jc w:val="center"/>
      </w:pPr>
      <w:r w:rsidRPr="00DF15FE">
        <w:rPr>
          <w:b/>
          <w:color w:val="000000"/>
        </w:rPr>
        <w:t>DECISION:</w:t>
      </w:r>
    </w:p>
    <w:p w14:paraId="35127158" w14:textId="43F35A0B" w:rsidR="00CF0403" w:rsidRPr="00DF15FE" w:rsidRDefault="00846F82" w:rsidP="005F1192">
      <w:r w:rsidRPr="00DF15FE">
        <w:rPr>
          <w:color w:val="000000"/>
        </w:rPr>
        <w:t> </w:t>
      </w:r>
      <w:bookmarkStart w:id="1" w:name="chk-paragraph-2_nodeId-1551785101"/>
      <w:bookmarkEnd w:id="0"/>
      <w:r w:rsidRPr="00DF15FE">
        <w:rPr>
          <w:color w:val="000000"/>
        </w:rPr>
        <w:t> </w:t>
      </w:r>
    </w:p>
    <w:tbl>
      <w:tblPr>
        <w:tblW w:w="0" w:type="auto"/>
        <w:tblCellSpacing w:w="0" w:type="auto"/>
        <w:tblLook w:val="04A0" w:firstRow="1" w:lastRow="0" w:firstColumn="1" w:lastColumn="0" w:noHBand="0" w:noVBand="1"/>
      </w:tblPr>
      <w:tblGrid>
        <w:gridCol w:w="518"/>
        <w:gridCol w:w="8509"/>
      </w:tblGrid>
      <w:tr w:rsidR="00CF0403" w:rsidRPr="00DF15FE" w14:paraId="49BE66AE" w14:textId="77777777" w:rsidTr="00A97D6C">
        <w:trPr>
          <w:trHeight w:val="30"/>
          <w:tblCellSpacing w:w="0" w:type="auto"/>
        </w:trPr>
        <w:tc>
          <w:tcPr>
            <w:tcW w:w="518" w:type="dxa"/>
            <w:tcMar>
              <w:top w:w="15" w:type="dxa"/>
              <w:left w:w="15" w:type="dxa"/>
              <w:bottom w:w="15" w:type="dxa"/>
              <w:right w:w="15" w:type="dxa"/>
            </w:tcMar>
          </w:tcPr>
          <w:p w14:paraId="1F930FC4" w14:textId="3D33CE6B" w:rsidR="00CF0403" w:rsidRPr="00DF15FE" w:rsidRDefault="00846F82">
            <w:pPr>
              <w:jc w:val="both"/>
            </w:pPr>
            <w:bookmarkStart w:id="2" w:name="chk-paragraph-2-1_nodeId--1267695376"/>
            <w:bookmarkEnd w:id="1"/>
            <w:r w:rsidRPr="00DF15FE">
              <w:rPr>
                <w:b/>
                <w:color w:val="000000"/>
              </w:rPr>
              <w:t>  1.</w:t>
            </w:r>
          </w:p>
        </w:tc>
        <w:tc>
          <w:tcPr>
            <w:tcW w:w="8509" w:type="dxa"/>
            <w:tcMar>
              <w:top w:w="15" w:type="dxa"/>
              <w:left w:w="15" w:type="dxa"/>
              <w:bottom w:w="15" w:type="dxa"/>
              <w:right w:w="15" w:type="dxa"/>
            </w:tcMar>
          </w:tcPr>
          <w:p w14:paraId="03D65D9E" w14:textId="0377976B" w:rsidR="00CF0403" w:rsidRPr="00DF15FE" w:rsidRDefault="00846F82">
            <w:pPr>
              <w:jc w:val="both"/>
              <w:rPr>
                <w:color w:val="000000"/>
              </w:rPr>
            </w:pPr>
            <w:r w:rsidRPr="00DF15FE">
              <w:rPr>
                <w:color w:val="000000"/>
              </w:rPr>
              <w:t>Opposition No</w:t>
            </w:r>
            <w:r w:rsidR="00DF15FE" w:rsidRPr="00DF15FE">
              <w:rPr>
                <w:color w:val="000000"/>
              </w:rPr>
              <w:t xml:space="preserve"> </w:t>
            </w:r>
            <w:r w:rsidRPr="00DF15FE">
              <w:rPr>
                <w:color w:val="000000"/>
              </w:rPr>
              <w:t>B 3 199 598 is upheld for all the contested</w:t>
            </w:r>
            <w:r w:rsidR="005F1192" w:rsidRPr="00DF15FE">
              <w:rPr>
                <w:color w:val="000000"/>
              </w:rPr>
              <w:t xml:space="preserve"> goods and services</w:t>
            </w:r>
            <w:r w:rsidR="00A97D6C" w:rsidRPr="00DF15FE">
              <w:rPr>
                <w:color w:val="000000"/>
              </w:rPr>
              <w:t xml:space="preserve">. </w:t>
            </w:r>
            <w:r w:rsidR="005F1192" w:rsidRPr="00DF15FE">
              <w:rPr>
                <w:color w:val="000000"/>
              </w:rPr>
              <w:t xml:space="preserve"> </w:t>
            </w:r>
            <w:r w:rsidRPr="00DF15FE">
              <w:rPr>
                <w:color w:val="000000"/>
              </w:rPr>
              <w:t xml:space="preserve"> </w:t>
            </w:r>
          </w:p>
          <w:p w14:paraId="67D0A107" w14:textId="10C6F0A7" w:rsidR="00B874C1" w:rsidRPr="00DF15FE" w:rsidRDefault="00B874C1">
            <w:pPr>
              <w:jc w:val="both"/>
              <w:rPr>
                <w:shadow/>
              </w:rPr>
            </w:pPr>
          </w:p>
        </w:tc>
      </w:tr>
      <w:tr w:rsidR="00CF0403" w:rsidRPr="00DF15FE" w14:paraId="53C96E9D" w14:textId="77777777" w:rsidTr="00A97D6C">
        <w:trPr>
          <w:trHeight w:val="30"/>
          <w:tblCellSpacing w:w="0" w:type="auto"/>
        </w:trPr>
        <w:tc>
          <w:tcPr>
            <w:tcW w:w="517" w:type="dxa"/>
            <w:tcMar>
              <w:top w:w="15" w:type="dxa"/>
              <w:left w:w="15" w:type="dxa"/>
              <w:bottom w:w="15" w:type="dxa"/>
              <w:right w:w="15" w:type="dxa"/>
            </w:tcMar>
          </w:tcPr>
          <w:p w14:paraId="176D8570" w14:textId="64E1BD3D" w:rsidR="00CF0403" w:rsidRPr="00DF15FE" w:rsidRDefault="00846F82">
            <w:pPr>
              <w:jc w:val="both"/>
            </w:pPr>
            <w:bookmarkStart w:id="3" w:name="chk-paragraph-2-1-1_nodeId--553874705"/>
            <w:bookmarkEnd w:id="2"/>
            <w:r w:rsidRPr="00DF15FE">
              <w:rPr>
                <w:b/>
                <w:color w:val="000000"/>
              </w:rPr>
              <w:t>  2.</w:t>
            </w:r>
          </w:p>
        </w:tc>
        <w:tc>
          <w:tcPr>
            <w:tcW w:w="8510" w:type="dxa"/>
            <w:tcMar>
              <w:top w:w="15" w:type="dxa"/>
              <w:left w:w="15" w:type="dxa"/>
              <w:bottom w:w="15" w:type="dxa"/>
              <w:right w:w="15" w:type="dxa"/>
            </w:tcMar>
          </w:tcPr>
          <w:p w14:paraId="5FA4E3F1" w14:textId="0BB567CE" w:rsidR="00CF0403" w:rsidRPr="00DF15FE" w:rsidRDefault="00846F82">
            <w:pPr>
              <w:jc w:val="both"/>
            </w:pPr>
            <w:r w:rsidRPr="00DF15FE">
              <w:rPr>
                <w:color w:val="000000"/>
              </w:rPr>
              <w:t xml:space="preserve">European Union </w:t>
            </w:r>
            <w:proofErr w:type="gramStart"/>
            <w:r w:rsidRPr="00DF15FE">
              <w:rPr>
                <w:color w:val="000000"/>
              </w:rPr>
              <w:t>trade mark</w:t>
            </w:r>
            <w:proofErr w:type="gramEnd"/>
            <w:r w:rsidRPr="00DF15FE">
              <w:rPr>
                <w:color w:val="000000"/>
              </w:rPr>
              <w:t xml:space="preserve"> application No 18 842 644 is rejected in its entirety.</w:t>
            </w:r>
          </w:p>
        </w:tc>
      </w:tr>
    </w:tbl>
    <w:p w14:paraId="71A5639C" w14:textId="77777777" w:rsidR="00CF0403" w:rsidRPr="00DF15FE" w:rsidRDefault="00CF0403">
      <w:pPr>
        <w:jc w:val="both"/>
      </w:pPr>
    </w:p>
    <w:tbl>
      <w:tblPr>
        <w:tblW w:w="0" w:type="auto"/>
        <w:tblCellSpacing w:w="0" w:type="auto"/>
        <w:tblLook w:val="04A0" w:firstRow="1" w:lastRow="0" w:firstColumn="1" w:lastColumn="0" w:noHBand="0" w:noVBand="1"/>
      </w:tblPr>
      <w:tblGrid>
        <w:gridCol w:w="524"/>
        <w:gridCol w:w="8503"/>
      </w:tblGrid>
      <w:tr w:rsidR="00CF0403" w:rsidRPr="00DF15FE" w14:paraId="6DA8BA5D" w14:textId="77777777" w:rsidTr="00B874C1">
        <w:trPr>
          <w:trHeight w:val="30"/>
          <w:tblCellSpacing w:w="0" w:type="auto"/>
        </w:trPr>
        <w:tc>
          <w:tcPr>
            <w:tcW w:w="524" w:type="dxa"/>
            <w:tcMar>
              <w:top w:w="15" w:type="dxa"/>
              <w:left w:w="15" w:type="dxa"/>
              <w:bottom w:w="15" w:type="dxa"/>
              <w:right w:w="15" w:type="dxa"/>
            </w:tcMar>
          </w:tcPr>
          <w:p w14:paraId="05943086" w14:textId="6EDB2971" w:rsidR="00CF0403" w:rsidRPr="00DF15FE" w:rsidRDefault="00846F82">
            <w:pPr>
              <w:jc w:val="both"/>
            </w:pPr>
            <w:bookmarkStart w:id="4" w:name="chk-paragraph-2-1-1-1_nodeId-794311471"/>
            <w:bookmarkEnd w:id="3"/>
            <w:r w:rsidRPr="00DF15FE">
              <w:rPr>
                <w:b/>
                <w:color w:val="000000"/>
              </w:rPr>
              <w:t>  3.</w:t>
            </w:r>
          </w:p>
        </w:tc>
        <w:tc>
          <w:tcPr>
            <w:tcW w:w="8503" w:type="dxa"/>
            <w:tcMar>
              <w:top w:w="15" w:type="dxa"/>
              <w:left w:w="15" w:type="dxa"/>
              <w:bottom w:w="15" w:type="dxa"/>
              <w:right w:w="15" w:type="dxa"/>
            </w:tcMar>
          </w:tcPr>
          <w:p w14:paraId="2116402D" w14:textId="54D6F2A3" w:rsidR="00CF0403" w:rsidRPr="00DF15FE" w:rsidRDefault="00846F82">
            <w:pPr>
              <w:jc w:val="both"/>
            </w:pPr>
            <w:r w:rsidRPr="00DF15FE">
              <w:rPr>
                <w:color w:val="000000"/>
              </w:rPr>
              <w:t>The applicant bears the costs, fixed at EUR 620.</w:t>
            </w:r>
          </w:p>
        </w:tc>
      </w:tr>
    </w:tbl>
    <w:p w14:paraId="7D026E94" w14:textId="77777777" w:rsidR="00CF0403" w:rsidRPr="00DF15FE" w:rsidRDefault="00CF0403">
      <w:pPr>
        <w:jc w:val="both"/>
      </w:pPr>
    </w:p>
    <w:p w14:paraId="46ECC631" w14:textId="77777777" w:rsidR="00B874C1" w:rsidRPr="00DF15FE" w:rsidRDefault="00B874C1">
      <w:pPr>
        <w:jc w:val="center"/>
        <w:rPr>
          <w:b/>
          <w:color w:val="000000"/>
        </w:rPr>
      </w:pPr>
      <w:bookmarkStart w:id="5" w:name="chk-paragraph-3_nodeId-1085394009"/>
      <w:bookmarkEnd w:id="4"/>
    </w:p>
    <w:p w14:paraId="324A43EA" w14:textId="0AF3D2DB" w:rsidR="00CF0403" w:rsidRPr="00DF15FE" w:rsidRDefault="00846F82">
      <w:pPr>
        <w:jc w:val="center"/>
      </w:pPr>
      <w:r w:rsidRPr="00DF15FE">
        <w:rPr>
          <w:b/>
          <w:color w:val="000000"/>
        </w:rPr>
        <w:t>REASONS</w:t>
      </w:r>
    </w:p>
    <w:p w14:paraId="661C28E5" w14:textId="5E29B9E2" w:rsidR="00CF0403" w:rsidRPr="00DF15FE" w:rsidRDefault="00846F82">
      <w:pPr>
        <w:jc w:val="both"/>
      </w:pPr>
      <w:r w:rsidRPr="00DF15FE">
        <w:rPr>
          <w:color w:val="000000"/>
        </w:rPr>
        <w:t> </w:t>
      </w:r>
    </w:p>
    <w:p w14:paraId="4D8783AD" w14:textId="2CE08B3A" w:rsidR="00B874C1" w:rsidRPr="00DF15FE" w:rsidRDefault="00846F82">
      <w:pPr>
        <w:jc w:val="both"/>
        <w:rPr>
          <w:color w:val="000000"/>
        </w:rPr>
      </w:pPr>
      <w:r w:rsidRPr="00DF15FE">
        <w:rPr>
          <w:color w:val="000000"/>
        </w:rPr>
        <w:t>On 17/07/2023, the opponent filed an opposition against all the</w:t>
      </w:r>
      <w:r w:rsidR="00B874C1" w:rsidRPr="00DF15FE">
        <w:rPr>
          <w:color w:val="000000"/>
        </w:rPr>
        <w:t xml:space="preserve"> goods and services </w:t>
      </w:r>
      <w:r w:rsidRPr="00DF15FE">
        <w:rPr>
          <w:color w:val="000000"/>
        </w:rPr>
        <w:t xml:space="preserve">of European Union </w:t>
      </w:r>
      <w:proofErr w:type="gramStart"/>
      <w:r w:rsidRPr="00DF15FE">
        <w:rPr>
          <w:color w:val="000000"/>
        </w:rPr>
        <w:t>trade mark</w:t>
      </w:r>
      <w:proofErr w:type="gramEnd"/>
      <w:r w:rsidRPr="00DF15FE">
        <w:rPr>
          <w:color w:val="000000"/>
        </w:rPr>
        <w:t xml:space="preserve"> application No 18 842 644 </w:t>
      </w:r>
      <w:r w:rsidRPr="00DF15FE">
        <w:rPr>
          <w:noProof/>
        </w:rPr>
        <w:drawing>
          <wp:inline distT="0" distB="0" distL="0" distR="0" wp14:anchorId="2DFEF3AE" wp14:editId="201DBA23">
            <wp:extent cx="1188889"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2517" cy="1515911"/>
                    </a:xfrm>
                    <a:prstGeom prst="rect">
                      <a:avLst/>
                    </a:prstGeom>
                  </pic:spPr>
                </pic:pic>
              </a:graphicData>
            </a:graphic>
          </wp:inline>
        </w:drawing>
      </w:r>
      <w:r w:rsidRPr="00DF15FE">
        <w:rPr>
          <w:color w:val="000000"/>
        </w:rPr>
        <w:t xml:space="preserve"> (figurative mark)</w:t>
      </w:r>
      <w:r w:rsidR="00B874C1" w:rsidRPr="00DF15FE">
        <w:rPr>
          <w:color w:val="000000"/>
        </w:rPr>
        <w:t xml:space="preserve">. </w:t>
      </w:r>
    </w:p>
    <w:p w14:paraId="627E91F1" w14:textId="77777777" w:rsidR="00B874C1" w:rsidRPr="00DF15FE" w:rsidRDefault="00B874C1">
      <w:pPr>
        <w:jc w:val="both"/>
        <w:rPr>
          <w:color w:val="000000"/>
        </w:rPr>
      </w:pPr>
    </w:p>
    <w:p w14:paraId="5FD97295" w14:textId="63B50957" w:rsidR="00B85C44" w:rsidRPr="00DF15FE" w:rsidRDefault="00846F82">
      <w:pPr>
        <w:jc w:val="both"/>
        <w:rPr>
          <w:color w:val="000000"/>
        </w:rPr>
      </w:pPr>
      <w:r w:rsidRPr="00DF15FE">
        <w:rPr>
          <w:color w:val="000000"/>
        </w:rPr>
        <w:t>The opposition is based on</w:t>
      </w:r>
      <w:r w:rsidR="00491A49" w:rsidRPr="00DF15FE">
        <w:rPr>
          <w:color w:val="000000"/>
        </w:rPr>
        <w:t xml:space="preserve"> </w:t>
      </w:r>
      <w:r w:rsidRPr="00DF15FE">
        <w:rPr>
          <w:color w:val="000000"/>
        </w:rPr>
        <w:t xml:space="preserve">EUTM registration No 4 758 851, </w:t>
      </w:r>
      <w:r w:rsidR="00C10D14" w:rsidRPr="00DF15FE">
        <w:rPr>
          <w:color w:val="000000"/>
        </w:rPr>
        <w:t>‘</w:t>
      </w:r>
      <w:r w:rsidRPr="00DF15FE">
        <w:rPr>
          <w:color w:val="000000"/>
        </w:rPr>
        <w:t>CH</w:t>
      </w:r>
      <w:r w:rsidR="00C10D14" w:rsidRPr="00DF15FE">
        <w:rPr>
          <w:color w:val="000000"/>
        </w:rPr>
        <w:t xml:space="preserve">’ (word mark) and </w:t>
      </w:r>
      <w:r w:rsidRPr="00DF15FE">
        <w:rPr>
          <w:color w:val="000000"/>
        </w:rPr>
        <w:t>EUTM registration No 4 144 994</w:t>
      </w:r>
      <w:r w:rsidR="00B85C44" w:rsidRPr="00DF15FE">
        <w:rPr>
          <w:color w:val="000000"/>
        </w:rPr>
        <w:t xml:space="preserve"> for the figurative mark</w:t>
      </w:r>
      <w:r w:rsidRPr="00DF15FE">
        <w:rPr>
          <w:color w:val="000000"/>
        </w:rPr>
        <w:t xml:space="preserve"> </w:t>
      </w:r>
      <w:r w:rsidRPr="00DF15FE">
        <w:rPr>
          <w:noProof/>
        </w:rPr>
        <w:drawing>
          <wp:inline distT="0" distB="0" distL="0" distR="0" wp14:anchorId="5E545DAD" wp14:editId="50562130">
            <wp:extent cx="1490872"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797" t="18133" r="21979" b="28055"/>
                    <a:stretch/>
                  </pic:blipFill>
                  <pic:spPr bwMode="auto">
                    <a:xfrm>
                      <a:off x="0" y="0"/>
                      <a:ext cx="1500120" cy="1022303"/>
                    </a:xfrm>
                    <a:prstGeom prst="rect">
                      <a:avLst/>
                    </a:prstGeom>
                    <a:ln>
                      <a:noFill/>
                    </a:ln>
                    <a:extLst>
                      <a:ext uri="{53640926-AAD7-44D8-BBD7-CCE9431645EC}">
                        <a14:shadowObscured xmlns:a14="http://schemas.microsoft.com/office/drawing/2010/main"/>
                      </a:ext>
                    </a:extLst>
                  </pic:spPr>
                </pic:pic>
              </a:graphicData>
            </a:graphic>
          </wp:inline>
        </w:drawing>
      </w:r>
      <w:r w:rsidRPr="00DF15FE">
        <w:rPr>
          <w:color w:val="000000"/>
        </w:rPr>
        <w:t> </w:t>
      </w:r>
      <w:r w:rsidR="00B85C44" w:rsidRPr="00DF15FE">
        <w:rPr>
          <w:color w:val="000000"/>
        </w:rPr>
        <w:t xml:space="preserve">. </w:t>
      </w:r>
    </w:p>
    <w:p w14:paraId="0D939CD5" w14:textId="77777777" w:rsidR="00B85C44" w:rsidRPr="00DF15FE" w:rsidRDefault="00B85C44">
      <w:pPr>
        <w:jc w:val="both"/>
        <w:rPr>
          <w:color w:val="000000"/>
        </w:rPr>
      </w:pPr>
    </w:p>
    <w:p w14:paraId="6159BE91" w14:textId="64F08D0C" w:rsidR="00CF0403" w:rsidRPr="00DF15FE" w:rsidRDefault="00B85C44">
      <w:pPr>
        <w:jc w:val="both"/>
      </w:pPr>
      <w:r w:rsidRPr="00DF15FE">
        <w:rPr>
          <w:color w:val="000000"/>
        </w:rPr>
        <w:t>The opponent invoked Article 8(1)(b) EUTMR and Article 8(5) EUTMR in relation to both marks.</w:t>
      </w:r>
    </w:p>
    <w:p w14:paraId="4AF0B7A9" w14:textId="76282ABE" w:rsidR="00CF0403" w:rsidRPr="00DF15FE" w:rsidRDefault="00846F82">
      <w:pPr>
        <w:jc w:val="both"/>
      </w:pPr>
      <w:r w:rsidRPr="00DF15FE">
        <w:rPr>
          <w:color w:val="000000"/>
        </w:rPr>
        <w:t> </w:t>
      </w:r>
    </w:p>
    <w:p w14:paraId="4ACE409C" w14:textId="62851EF4" w:rsidR="00CF0403" w:rsidRPr="00DF15FE" w:rsidRDefault="00846F82">
      <w:pPr>
        <w:jc w:val="both"/>
      </w:pPr>
      <w:r w:rsidRPr="00DF15FE">
        <w:rPr>
          <w:color w:val="000000"/>
        </w:rPr>
        <w:t> </w:t>
      </w:r>
    </w:p>
    <w:p w14:paraId="65918FB7" w14:textId="56A442E8" w:rsidR="00CF0403" w:rsidRPr="00DF15FE" w:rsidRDefault="00846F82">
      <w:pPr>
        <w:jc w:val="both"/>
      </w:pPr>
      <w:bookmarkStart w:id="6" w:name="chk-paragraph-10_nodeId--1736014671"/>
      <w:bookmarkEnd w:id="5"/>
      <w:r w:rsidRPr="00DF15FE">
        <w:rPr>
          <w:b/>
          <w:color w:val="000000"/>
        </w:rPr>
        <w:lastRenderedPageBreak/>
        <w:t>REPUTATION — ARTICLE 8(5) EUTMR</w:t>
      </w:r>
    </w:p>
    <w:p w14:paraId="566CE043" w14:textId="35D2F926" w:rsidR="00CF0403" w:rsidRPr="00DF15FE" w:rsidRDefault="00846F82">
      <w:pPr>
        <w:jc w:val="both"/>
      </w:pPr>
      <w:r w:rsidRPr="00DF15FE">
        <w:br/>
      </w:r>
      <w:r w:rsidRPr="00DF15FE">
        <w:rPr>
          <w:color w:val="000000"/>
        </w:rPr>
        <w:t>According to Article 8(5) EUTMR, upon opposition by the proprietor of a registered earlier trade mark within the meaning of Article 8(2) EUTMR, the contested trade mark will not be registered where it is identical with, or similar to, an earlier trade mark, irrespective of whether the goods or services for which it is applied are identical with, similar to or not similar to those for which the earlier trade mark is registered, where, in the case of an earlier European Union trade mark, the trade mark has a reputation in the Union or, in the case of an earlier national trade mark, the trade mark has a reputation in the Member State concerned and where the use without due cause of the contested trade mark would take unfair advantage of, or be detrimental to, the distinctive character or the repute of the earlier trade mark.</w:t>
      </w:r>
    </w:p>
    <w:p w14:paraId="29E44C93" w14:textId="78BFFC7F" w:rsidR="00CF0403" w:rsidRPr="00DF15FE" w:rsidRDefault="00846F82">
      <w:pPr>
        <w:jc w:val="both"/>
      </w:pPr>
      <w:r w:rsidRPr="00DF15FE">
        <w:rPr>
          <w:color w:val="000000"/>
        </w:rPr>
        <w:t> </w:t>
      </w:r>
    </w:p>
    <w:p w14:paraId="365A5BE6" w14:textId="445FBA41" w:rsidR="00CF0403" w:rsidRPr="00DF15FE" w:rsidRDefault="00846F82">
      <w:pPr>
        <w:jc w:val="both"/>
      </w:pPr>
      <w:bookmarkStart w:id="7" w:name="chk-paragraph-10-3_nodeId-1007701332"/>
      <w:bookmarkEnd w:id="6"/>
      <w:r w:rsidRPr="00DF15FE">
        <w:rPr>
          <w:color w:val="000000"/>
        </w:rPr>
        <w:t>Therefore, the grounds for refusal of Article 8(5) EUTMR are only applicable when the following conditions are met.</w:t>
      </w:r>
    </w:p>
    <w:p w14:paraId="43845EBF" w14:textId="6B6F38E2" w:rsidR="00CF0403" w:rsidRPr="00DF15FE" w:rsidRDefault="00846F82">
      <w:pPr>
        <w:jc w:val="both"/>
      </w:pPr>
      <w:r w:rsidRPr="00DF15FE">
        <w:rPr>
          <w:color w:val="000000"/>
        </w:rPr>
        <w:t> </w:t>
      </w:r>
    </w:p>
    <w:p w14:paraId="48339735" w14:textId="479FAA5B" w:rsidR="00CF0403" w:rsidRPr="00DF15FE" w:rsidRDefault="00DF15FE" w:rsidP="00DF15FE">
      <w:pPr>
        <w:ind w:left="960" w:hanging="360"/>
        <w:jc w:val="both"/>
      </w:pPr>
      <w:r w:rsidRPr="00DF15FE">
        <w:rPr>
          <w:rFonts w:ascii="Symbol" w:hAnsi="Symbol"/>
        </w:rPr>
        <w:t></w:t>
      </w:r>
      <w:r w:rsidRPr="00DF15FE">
        <w:rPr>
          <w:rFonts w:ascii="Symbol" w:hAnsi="Symbol"/>
        </w:rPr>
        <w:tab/>
      </w:r>
      <w:r w:rsidR="00846F82" w:rsidRPr="00DF15FE">
        <w:rPr>
          <w:color w:val="000000"/>
        </w:rPr>
        <w:t>The signs must be either identical or similar.</w:t>
      </w:r>
    </w:p>
    <w:p w14:paraId="7E3CB394" w14:textId="2C9BF8A8" w:rsidR="00CF0403" w:rsidRPr="00DF15FE" w:rsidRDefault="00846F82">
      <w:pPr>
        <w:ind w:left="960"/>
        <w:jc w:val="both"/>
      </w:pPr>
      <w:r w:rsidRPr="00DF15FE">
        <w:rPr>
          <w:color w:val="000000"/>
        </w:rPr>
        <w:t> </w:t>
      </w:r>
    </w:p>
    <w:p w14:paraId="79C2211C" w14:textId="55CD7F76" w:rsidR="00CF0403" w:rsidRPr="00DF15FE" w:rsidRDefault="00DF15FE" w:rsidP="00DF15FE">
      <w:pPr>
        <w:ind w:left="960" w:hanging="360"/>
        <w:jc w:val="both"/>
      </w:pPr>
      <w:r w:rsidRPr="00DF15FE">
        <w:rPr>
          <w:rFonts w:ascii="Symbol" w:hAnsi="Symbol"/>
        </w:rPr>
        <w:t></w:t>
      </w:r>
      <w:r w:rsidRPr="00DF15FE">
        <w:rPr>
          <w:rFonts w:ascii="Symbol" w:hAnsi="Symbol"/>
        </w:rPr>
        <w:tab/>
      </w:r>
      <w:r w:rsidR="00846F82" w:rsidRPr="00DF15FE">
        <w:rPr>
          <w:color w:val="000000"/>
        </w:rPr>
        <w:t xml:space="preserve">The opponent’s </w:t>
      </w:r>
      <w:proofErr w:type="gramStart"/>
      <w:r w:rsidR="00846F82" w:rsidRPr="00DF15FE">
        <w:rPr>
          <w:color w:val="000000"/>
        </w:rPr>
        <w:t>trade mark</w:t>
      </w:r>
      <w:proofErr w:type="gramEnd"/>
      <w:r w:rsidR="00846F82" w:rsidRPr="00DF15FE">
        <w:rPr>
          <w:color w:val="000000"/>
        </w:rPr>
        <w:t xml:space="preserve"> must have a reputation. The reputation must also be prior to the filing of the contested </w:t>
      </w:r>
      <w:proofErr w:type="gramStart"/>
      <w:r w:rsidR="00846F82" w:rsidRPr="00DF15FE">
        <w:rPr>
          <w:color w:val="000000"/>
        </w:rPr>
        <w:t>trade mark</w:t>
      </w:r>
      <w:proofErr w:type="gramEnd"/>
      <w:r w:rsidR="00846F82" w:rsidRPr="00DF15FE">
        <w:rPr>
          <w:color w:val="000000"/>
        </w:rPr>
        <w:t>; it must exist in the territory concerned and for the goods and/or services on which the opposition is based.</w:t>
      </w:r>
    </w:p>
    <w:p w14:paraId="277D2230" w14:textId="4F061E7D" w:rsidR="00CF0403" w:rsidRPr="00DF15FE" w:rsidRDefault="00846F82">
      <w:pPr>
        <w:ind w:left="960"/>
        <w:jc w:val="both"/>
      </w:pPr>
      <w:r w:rsidRPr="00DF15FE">
        <w:rPr>
          <w:color w:val="000000"/>
        </w:rPr>
        <w:t> </w:t>
      </w:r>
    </w:p>
    <w:p w14:paraId="06955E63" w14:textId="2700691F" w:rsidR="00CF0403" w:rsidRPr="00DF15FE" w:rsidRDefault="00DF15FE" w:rsidP="00DF15FE">
      <w:pPr>
        <w:ind w:left="960" w:hanging="360"/>
        <w:jc w:val="both"/>
      </w:pPr>
      <w:r w:rsidRPr="00DF15FE">
        <w:rPr>
          <w:rFonts w:ascii="Symbol" w:hAnsi="Symbol"/>
        </w:rPr>
        <w:t></w:t>
      </w:r>
      <w:r w:rsidRPr="00DF15FE">
        <w:rPr>
          <w:rFonts w:ascii="Symbol" w:hAnsi="Symbol"/>
        </w:rPr>
        <w:tab/>
      </w:r>
      <w:r w:rsidR="00846F82" w:rsidRPr="00DF15FE">
        <w:rPr>
          <w:color w:val="000000"/>
        </w:rPr>
        <w:t xml:space="preserve">Risk of injury: use of the contested </w:t>
      </w:r>
      <w:proofErr w:type="gramStart"/>
      <w:r w:rsidR="00846F82" w:rsidRPr="00DF15FE">
        <w:rPr>
          <w:color w:val="000000"/>
        </w:rPr>
        <w:t>trade mark</w:t>
      </w:r>
      <w:proofErr w:type="gramEnd"/>
      <w:r w:rsidR="00846F82" w:rsidRPr="00DF15FE">
        <w:rPr>
          <w:color w:val="000000"/>
        </w:rPr>
        <w:t xml:space="preserve"> would take unfair advantage of, or be detrimental to, the distinctive character or repute of the earlier trade mark.</w:t>
      </w:r>
    </w:p>
    <w:p w14:paraId="2B52B25D" w14:textId="181F923C" w:rsidR="00CF0403" w:rsidRPr="00DF15FE" w:rsidRDefault="00846F82">
      <w:pPr>
        <w:jc w:val="both"/>
      </w:pPr>
      <w:r w:rsidRPr="00DF15FE">
        <w:rPr>
          <w:color w:val="000000"/>
        </w:rPr>
        <w:t> </w:t>
      </w:r>
    </w:p>
    <w:p w14:paraId="1E916EAE" w14:textId="77777777" w:rsidR="00CF0403" w:rsidRPr="00DF15FE" w:rsidRDefault="00846F82">
      <w:pPr>
        <w:jc w:val="both"/>
        <w:rPr>
          <w:color w:val="000000"/>
        </w:rPr>
      </w:pPr>
      <w:r w:rsidRPr="00DF15FE">
        <w:rPr>
          <w:color w:val="000000"/>
        </w:rPr>
        <w:t xml:space="preserve">The abovementioned requirements are cumulative and, therefore, the absence of any one of them will lead to the rejection of the opposition under Article 8(5) EUTMR (16/12/2010, T-357/08, BOTOCYL / BOTOX, </w:t>
      </w:r>
      <w:proofErr w:type="gramStart"/>
      <w:r w:rsidRPr="00DF15FE">
        <w:rPr>
          <w:color w:val="000000"/>
        </w:rPr>
        <w:t>EU:T</w:t>
      </w:r>
      <w:proofErr w:type="gramEnd"/>
      <w:r w:rsidRPr="00DF15FE">
        <w:rPr>
          <w:color w:val="000000"/>
        </w:rPr>
        <w:t xml:space="preserve">:2010:529, § 41; 16/12/2010, T-345/08, BOTOLIST / BOTOX, EU:T:2010:529, § 41). However, the fulfilment of all the abovementioned conditions may not be sufficient. The opposition may still fail if the applicant establishes due cause for the use of the contested </w:t>
      </w:r>
      <w:proofErr w:type="gramStart"/>
      <w:r w:rsidRPr="00DF15FE">
        <w:rPr>
          <w:color w:val="000000"/>
        </w:rPr>
        <w:t>trade mark</w:t>
      </w:r>
      <w:proofErr w:type="gramEnd"/>
      <w:r w:rsidRPr="00DF15FE">
        <w:rPr>
          <w:color w:val="000000"/>
        </w:rPr>
        <w:t>.</w:t>
      </w:r>
    </w:p>
    <w:p w14:paraId="0848C665" w14:textId="77777777" w:rsidR="00022EB1" w:rsidRPr="00DF15FE" w:rsidRDefault="00022EB1">
      <w:pPr>
        <w:jc w:val="both"/>
        <w:rPr>
          <w:color w:val="000000"/>
        </w:rPr>
      </w:pPr>
    </w:p>
    <w:p w14:paraId="5F0EB0FD" w14:textId="77777777" w:rsidR="00022EB1" w:rsidRPr="00DF15FE" w:rsidRDefault="00022EB1" w:rsidP="00022EB1">
      <w:pPr>
        <w:jc w:val="both"/>
        <w:rPr>
          <w:color w:val="000000"/>
        </w:rPr>
      </w:pPr>
      <w:bookmarkStart w:id="8" w:name="chk-paragraph-10-3-1-1_nodeId-1491839948"/>
      <w:r w:rsidRPr="00DF15FE">
        <w:rPr>
          <w:color w:val="000000"/>
        </w:rPr>
        <w:t>In the present case, the applicant did not claim to have due cause for using the contested mark. Therefore, in the absence of any indications to the contrary, it must be assumed that no due cause exists.</w:t>
      </w:r>
    </w:p>
    <w:p w14:paraId="6DB4725E" w14:textId="77777777" w:rsidR="00CB79E9" w:rsidRPr="00DF15FE" w:rsidRDefault="00CB79E9" w:rsidP="00022EB1">
      <w:pPr>
        <w:jc w:val="both"/>
      </w:pPr>
    </w:p>
    <w:p w14:paraId="51A8BD90" w14:textId="59536CC5" w:rsidR="00022EB1" w:rsidRPr="00DF15FE" w:rsidRDefault="00022EB1" w:rsidP="00022EB1">
      <w:pPr>
        <w:jc w:val="both"/>
      </w:pPr>
      <w:r w:rsidRPr="00DF15FE">
        <w:rPr>
          <w:color w:val="000000"/>
        </w:rPr>
        <w:t> </w:t>
      </w:r>
    </w:p>
    <w:p w14:paraId="517D2D7B" w14:textId="77777777" w:rsidR="00022EB1" w:rsidRPr="00DF15FE" w:rsidRDefault="00022EB1" w:rsidP="00022EB1">
      <w:pPr>
        <w:jc w:val="both"/>
      </w:pPr>
      <w:bookmarkStart w:id="9" w:name="chk-paragraph-10-3-2_nodeId-467146027"/>
      <w:bookmarkEnd w:id="8"/>
      <w:r w:rsidRPr="00DF15FE">
        <w:rPr>
          <w:b/>
          <w:color w:val="000000"/>
        </w:rPr>
        <w:t xml:space="preserve">a) Reputation of the earlier </w:t>
      </w:r>
      <w:proofErr w:type="gramStart"/>
      <w:r w:rsidRPr="00DF15FE">
        <w:rPr>
          <w:b/>
          <w:color w:val="000000"/>
        </w:rPr>
        <w:t>trade marks</w:t>
      </w:r>
      <w:proofErr w:type="gramEnd"/>
    </w:p>
    <w:p w14:paraId="4A469E4D" w14:textId="7F44483F" w:rsidR="00022EB1" w:rsidRPr="00DF15FE" w:rsidRDefault="00022EB1" w:rsidP="00022EB1">
      <w:pPr>
        <w:jc w:val="both"/>
        <w:rPr>
          <w:szCs w:val="22"/>
        </w:rPr>
      </w:pPr>
      <w:r w:rsidRPr="00DF15FE">
        <w:rPr>
          <w:color w:val="000000"/>
        </w:rPr>
        <w:t> </w:t>
      </w:r>
      <w:bookmarkEnd w:id="9"/>
      <w:r w:rsidRPr="00DF15FE">
        <w:rPr>
          <w:color w:val="000000"/>
          <w:szCs w:val="22"/>
        </w:rPr>
        <w:t>  </w:t>
      </w:r>
    </w:p>
    <w:p w14:paraId="1233C8EA" w14:textId="77777777" w:rsidR="00022EB1" w:rsidRPr="00DF15FE" w:rsidRDefault="00022EB1" w:rsidP="00022EB1">
      <w:pPr>
        <w:jc w:val="both"/>
        <w:rPr>
          <w:color w:val="000000"/>
          <w:szCs w:val="22"/>
        </w:rPr>
      </w:pPr>
      <w:r w:rsidRPr="00DF15FE">
        <w:rPr>
          <w:color w:val="000000"/>
          <w:szCs w:val="22"/>
        </w:rPr>
        <w:t xml:space="preserve">According to the opponent, the earlier European Union </w:t>
      </w:r>
      <w:proofErr w:type="gramStart"/>
      <w:r w:rsidRPr="00DF15FE">
        <w:rPr>
          <w:color w:val="000000"/>
          <w:szCs w:val="22"/>
        </w:rPr>
        <w:t>trade mark</w:t>
      </w:r>
      <w:proofErr w:type="gramEnd"/>
      <w:r w:rsidRPr="00DF15FE">
        <w:rPr>
          <w:color w:val="000000"/>
          <w:szCs w:val="22"/>
        </w:rPr>
        <w:t xml:space="preserve"> registrations have a reputation in the European Union.</w:t>
      </w:r>
    </w:p>
    <w:p w14:paraId="67AF83C9" w14:textId="77777777" w:rsidR="00022EB1" w:rsidRPr="00DF15FE" w:rsidRDefault="00022EB1" w:rsidP="00022EB1">
      <w:pPr>
        <w:jc w:val="both"/>
        <w:rPr>
          <w:color w:val="000000"/>
          <w:szCs w:val="22"/>
        </w:rPr>
      </w:pPr>
    </w:p>
    <w:p w14:paraId="535F9A7F" w14:textId="77777777" w:rsidR="00022EB1" w:rsidRPr="00DF15FE" w:rsidRDefault="00022EB1" w:rsidP="00022EB1">
      <w:pPr>
        <w:jc w:val="both"/>
      </w:pPr>
      <w:r w:rsidRPr="00DF15FE">
        <w:rPr>
          <w:color w:val="000000"/>
        </w:rPr>
        <w:t>Reputation implies a knowledge threshold that is reached only when the earlier mark is known by a significant part of the relevant public for the goods or services it covers. The relevant public is, depending on the goods or services marketed, either the public at large or a more specialised public.</w:t>
      </w:r>
    </w:p>
    <w:p w14:paraId="15B6EA3B" w14:textId="53DBE373" w:rsidR="00022EB1" w:rsidRPr="00DF15FE" w:rsidRDefault="00022EB1" w:rsidP="00022EB1">
      <w:pPr>
        <w:jc w:val="both"/>
      </w:pPr>
      <w:r w:rsidRPr="00DF15FE">
        <w:rPr>
          <w:color w:val="000000"/>
        </w:rPr>
        <w:t> </w:t>
      </w:r>
    </w:p>
    <w:p w14:paraId="2544A916" w14:textId="5AF4D26D" w:rsidR="00022EB1" w:rsidRPr="00DF15FE" w:rsidRDefault="00022EB1" w:rsidP="00022EB1">
      <w:pPr>
        <w:jc w:val="both"/>
      </w:pPr>
      <w:r w:rsidRPr="00DF15FE">
        <w:rPr>
          <w:color w:val="000000"/>
        </w:rPr>
        <w:t xml:space="preserve">In the present case, the contested </w:t>
      </w:r>
      <w:proofErr w:type="gramStart"/>
      <w:r w:rsidRPr="00DF15FE">
        <w:rPr>
          <w:color w:val="000000"/>
        </w:rPr>
        <w:t>trade mark</w:t>
      </w:r>
      <w:proofErr w:type="gramEnd"/>
      <w:r w:rsidRPr="00DF15FE">
        <w:rPr>
          <w:color w:val="000000"/>
        </w:rPr>
        <w:t xml:space="preserve"> was filed on </w:t>
      </w:r>
      <w:r w:rsidR="00E43322" w:rsidRPr="00DF15FE">
        <w:rPr>
          <w:color w:val="000000"/>
        </w:rPr>
        <w:t>01</w:t>
      </w:r>
      <w:r w:rsidRPr="00DF15FE">
        <w:rPr>
          <w:color w:val="000000"/>
        </w:rPr>
        <w:t>/</w:t>
      </w:r>
      <w:r w:rsidR="00E43322" w:rsidRPr="00DF15FE">
        <w:rPr>
          <w:color w:val="000000"/>
        </w:rPr>
        <w:t>03</w:t>
      </w:r>
      <w:r w:rsidRPr="00DF15FE">
        <w:rPr>
          <w:color w:val="000000"/>
        </w:rPr>
        <w:t>/202</w:t>
      </w:r>
      <w:r w:rsidR="00E43322" w:rsidRPr="00DF15FE">
        <w:rPr>
          <w:color w:val="000000"/>
        </w:rPr>
        <w:t>3</w:t>
      </w:r>
      <w:r w:rsidRPr="00DF15FE">
        <w:rPr>
          <w:color w:val="000000"/>
        </w:rPr>
        <w:t xml:space="preserve">. Therefore, the opponent was required to prove that the trade marks on which the opposition is based had acquired a </w:t>
      </w:r>
      <w:proofErr w:type="gramStart"/>
      <w:r w:rsidRPr="00DF15FE">
        <w:rPr>
          <w:color w:val="000000"/>
        </w:rPr>
        <w:t>reputation  prior</w:t>
      </w:r>
      <w:proofErr w:type="gramEnd"/>
      <w:r w:rsidRPr="00DF15FE">
        <w:rPr>
          <w:color w:val="000000"/>
        </w:rPr>
        <w:t xml:space="preserve"> to that date. The evidence must also show that the reputation was acquired for the goods for which the opponent has claimed reputation, namely: </w:t>
      </w:r>
    </w:p>
    <w:p w14:paraId="561767B0" w14:textId="25BA3866" w:rsidR="00022EB1" w:rsidRPr="00DF15FE" w:rsidRDefault="00022EB1" w:rsidP="00022EB1">
      <w:pPr>
        <w:jc w:val="both"/>
      </w:pPr>
      <w:r w:rsidRPr="00DF15FE">
        <w:rPr>
          <w:color w:val="000000"/>
        </w:rPr>
        <w:t> </w:t>
      </w:r>
    </w:p>
    <w:p w14:paraId="5AF1BBB4" w14:textId="2FF6C4E0" w:rsidR="00022EB1" w:rsidRPr="00DF15FE" w:rsidRDefault="00022EB1" w:rsidP="00022EB1">
      <w:pPr>
        <w:jc w:val="both"/>
        <w:rPr>
          <w:color w:val="000000"/>
          <w:u w:val="single"/>
        </w:rPr>
      </w:pPr>
      <w:r w:rsidRPr="00DF15FE">
        <w:rPr>
          <w:color w:val="000000"/>
          <w:u w:val="single"/>
        </w:rPr>
        <w:t>EUTM registration No 4 758 851</w:t>
      </w:r>
    </w:p>
    <w:p w14:paraId="06BAD065" w14:textId="77777777" w:rsidR="00022EB1" w:rsidRPr="00DF15FE" w:rsidRDefault="00022EB1" w:rsidP="00022EB1">
      <w:pPr>
        <w:jc w:val="both"/>
      </w:pPr>
    </w:p>
    <w:p w14:paraId="47D96AAA" w14:textId="4FE47138" w:rsidR="00022EB1" w:rsidRPr="00DF15FE" w:rsidRDefault="00022EB1" w:rsidP="00022EB1">
      <w:pPr>
        <w:spacing w:after="269"/>
      </w:pPr>
      <w:r w:rsidRPr="00DF15FE">
        <w:rPr>
          <w:color w:val="000000"/>
        </w:rPr>
        <w:t xml:space="preserve">Class 3: </w:t>
      </w:r>
      <w:r w:rsidRPr="00DF15FE">
        <w:rPr>
          <w:i/>
          <w:color w:val="000000"/>
        </w:rPr>
        <w:t>Perfumery products.</w:t>
      </w:r>
    </w:p>
    <w:p w14:paraId="29895514" w14:textId="77777777" w:rsidR="00022EB1" w:rsidRPr="00DF15FE" w:rsidRDefault="00022EB1" w:rsidP="00022EB1">
      <w:pPr>
        <w:spacing w:after="269"/>
      </w:pPr>
      <w:r w:rsidRPr="00DF15FE">
        <w:rPr>
          <w:color w:val="000000"/>
        </w:rPr>
        <w:lastRenderedPageBreak/>
        <w:t xml:space="preserve">Class 25: </w:t>
      </w:r>
      <w:r w:rsidRPr="00DF15FE">
        <w:rPr>
          <w:i/>
          <w:color w:val="000000"/>
        </w:rPr>
        <w:t>Clothing and ready-made clothing.</w:t>
      </w:r>
    </w:p>
    <w:p w14:paraId="14919EAF" w14:textId="0C17F029" w:rsidR="00022EB1" w:rsidRPr="00DF15FE" w:rsidRDefault="00022EB1" w:rsidP="00022EB1">
      <w:pPr>
        <w:spacing w:after="269"/>
        <w:rPr>
          <w:u w:val="single"/>
        </w:rPr>
      </w:pPr>
      <w:r w:rsidRPr="00DF15FE">
        <w:rPr>
          <w:color w:val="000000"/>
          <w:u w:val="single"/>
        </w:rPr>
        <w:t xml:space="preserve">EUTM registration No </w:t>
      </w:r>
      <w:r w:rsidR="00427BB3" w:rsidRPr="00DF15FE">
        <w:rPr>
          <w:color w:val="000000"/>
          <w:u w:val="single"/>
        </w:rPr>
        <w:t>4</w:t>
      </w:r>
      <w:r w:rsidRPr="00DF15FE">
        <w:rPr>
          <w:color w:val="000000"/>
          <w:u w:val="single"/>
        </w:rPr>
        <w:t> </w:t>
      </w:r>
      <w:r w:rsidR="00427BB3" w:rsidRPr="00DF15FE">
        <w:rPr>
          <w:color w:val="000000"/>
          <w:u w:val="single"/>
        </w:rPr>
        <w:t>1</w:t>
      </w:r>
      <w:r w:rsidRPr="00DF15FE">
        <w:rPr>
          <w:color w:val="000000"/>
          <w:u w:val="single"/>
        </w:rPr>
        <w:t>44 </w:t>
      </w:r>
      <w:r w:rsidR="00427BB3" w:rsidRPr="00DF15FE">
        <w:rPr>
          <w:color w:val="000000"/>
          <w:u w:val="single"/>
        </w:rPr>
        <w:t>994</w:t>
      </w:r>
    </w:p>
    <w:p w14:paraId="31815ED1" w14:textId="3B4099E3" w:rsidR="00022EB1" w:rsidRPr="00DF15FE" w:rsidRDefault="00022EB1" w:rsidP="00022EB1">
      <w:pPr>
        <w:spacing w:after="269"/>
      </w:pPr>
      <w:r w:rsidRPr="00DF15FE">
        <w:rPr>
          <w:color w:val="000000"/>
        </w:rPr>
        <w:t xml:space="preserve">Class 3: </w:t>
      </w:r>
      <w:r w:rsidRPr="00DF15FE">
        <w:rPr>
          <w:i/>
          <w:color w:val="000000"/>
        </w:rPr>
        <w:t>Perfumery products.</w:t>
      </w:r>
    </w:p>
    <w:p w14:paraId="07914BEB" w14:textId="77777777" w:rsidR="00022EB1" w:rsidRPr="00DF15FE" w:rsidRDefault="00022EB1" w:rsidP="00022EB1">
      <w:pPr>
        <w:spacing w:after="269"/>
      </w:pPr>
      <w:r w:rsidRPr="00DF15FE">
        <w:rPr>
          <w:color w:val="000000"/>
        </w:rPr>
        <w:t xml:space="preserve">Class 25: </w:t>
      </w:r>
      <w:r w:rsidRPr="00DF15FE">
        <w:rPr>
          <w:i/>
          <w:color w:val="000000"/>
        </w:rPr>
        <w:t xml:space="preserve">Clothing and ready-made clothing. </w:t>
      </w:r>
    </w:p>
    <w:p w14:paraId="526F79B7" w14:textId="1E8791C4" w:rsidR="006C6C0B" w:rsidRPr="00DF15FE" w:rsidRDefault="006C6C0B" w:rsidP="006C6C0B">
      <w:pPr>
        <w:spacing w:after="269"/>
        <w:rPr>
          <w:i/>
          <w:color w:val="000000"/>
        </w:rPr>
      </w:pPr>
      <w:r w:rsidRPr="00DF15FE">
        <w:rPr>
          <w:color w:val="000000"/>
        </w:rPr>
        <w:t xml:space="preserve">Class 35: </w:t>
      </w:r>
      <w:r w:rsidRPr="00DF15FE">
        <w:rPr>
          <w:i/>
          <w:color w:val="000000"/>
        </w:rPr>
        <w:t>Retail services.</w:t>
      </w:r>
    </w:p>
    <w:p w14:paraId="14270FBD" w14:textId="256DA16D" w:rsidR="00533512" w:rsidRPr="00DF15FE" w:rsidRDefault="00533512" w:rsidP="00533512">
      <w:pPr>
        <w:jc w:val="both"/>
        <w:rPr>
          <w:color w:val="000000"/>
        </w:rPr>
      </w:pPr>
      <w:r w:rsidRPr="00DF15FE">
        <w:rPr>
          <w:color w:val="000000"/>
        </w:rPr>
        <w:t>The opposition is directed against the following goods and services:</w:t>
      </w:r>
    </w:p>
    <w:p w14:paraId="25424643" w14:textId="75DFAEA0" w:rsidR="00964321" w:rsidRPr="00DF15FE" w:rsidRDefault="00964321" w:rsidP="00964321">
      <w:pPr>
        <w:pStyle w:val="ui-droppable"/>
        <w:spacing w:before="0" w:beforeAutospacing="0" w:after="0" w:afterAutospacing="0"/>
        <w:jc w:val="both"/>
        <w:rPr>
          <w:rFonts w:ascii="Arial" w:eastAsia="Arial" w:hAnsi="Arial" w:cs="Arial"/>
          <w:color w:val="000000"/>
          <w:sz w:val="22"/>
          <w:szCs w:val="22"/>
        </w:rPr>
      </w:pPr>
      <w:r w:rsidRPr="00DF15FE">
        <w:rPr>
          <w:rFonts w:ascii="Arial" w:eastAsia="Arial" w:hAnsi="Arial" w:cs="Arial"/>
          <w:color w:val="000000"/>
          <w:sz w:val="22"/>
          <w:szCs w:val="22"/>
        </w:rPr>
        <w:t> </w:t>
      </w:r>
    </w:p>
    <w:p w14:paraId="402D294E" w14:textId="77777777" w:rsidR="00964321" w:rsidRPr="00DF15FE" w:rsidRDefault="00964321" w:rsidP="00533512">
      <w:pPr>
        <w:pStyle w:val="ui-droppable"/>
        <w:jc w:val="both"/>
        <w:rPr>
          <w:rFonts w:ascii="Arial" w:eastAsia="Arial" w:hAnsi="Arial" w:cs="Arial"/>
          <w:color w:val="000000"/>
          <w:sz w:val="22"/>
          <w:szCs w:val="22"/>
        </w:rPr>
      </w:pPr>
      <w:r w:rsidRPr="00DF15FE">
        <w:rPr>
          <w:rFonts w:ascii="Arial" w:eastAsia="Arial" w:hAnsi="Arial" w:cs="Arial"/>
          <w:color w:val="000000"/>
          <w:sz w:val="22"/>
          <w:szCs w:val="22"/>
        </w:rPr>
        <w:t xml:space="preserve">Class 25: </w:t>
      </w:r>
      <w:r w:rsidRPr="00DF15FE">
        <w:rPr>
          <w:rFonts w:ascii="Arial" w:eastAsia="Arial" w:hAnsi="Arial" w:cs="Arial"/>
          <w:i/>
          <w:iCs/>
          <w:color w:val="000000"/>
          <w:sz w:val="22"/>
          <w:szCs w:val="22"/>
        </w:rPr>
        <w:t>Clothing; Trousers; Coats; Footwear; caps being headwear; hosiery; gloves [clothing]; tee-shirts; Down coats; Shirts; Sweaters; Scarves; headscarves; underpants; Hoodies; suits; Jumpsuits; Leggings; Coats made of cotton; Face masks [clothing], not for medical or sanitary purposes.</w:t>
      </w:r>
    </w:p>
    <w:p w14:paraId="1F967E9D" w14:textId="77777777" w:rsidR="00964321" w:rsidRPr="00DF15FE" w:rsidRDefault="00964321" w:rsidP="00533512">
      <w:pPr>
        <w:pStyle w:val="ui-droppable"/>
        <w:jc w:val="both"/>
        <w:rPr>
          <w:rFonts w:ascii="Arial" w:eastAsia="Arial" w:hAnsi="Arial" w:cs="Arial"/>
          <w:color w:val="000000"/>
          <w:sz w:val="22"/>
          <w:szCs w:val="22"/>
        </w:rPr>
      </w:pPr>
      <w:r w:rsidRPr="00DF15FE">
        <w:rPr>
          <w:rFonts w:ascii="Arial" w:eastAsia="Arial" w:hAnsi="Arial" w:cs="Arial"/>
          <w:color w:val="000000"/>
          <w:sz w:val="22"/>
          <w:szCs w:val="22"/>
        </w:rPr>
        <w:t xml:space="preserve">Class 35: </w:t>
      </w:r>
      <w:r w:rsidRPr="00DF15FE">
        <w:rPr>
          <w:rFonts w:ascii="Arial" w:eastAsia="Arial" w:hAnsi="Arial" w:cs="Arial"/>
          <w:i/>
          <w:iCs/>
          <w:color w:val="000000"/>
          <w:sz w:val="22"/>
          <w:szCs w:val="22"/>
        </w:rPr>
        <w:t>Advertising; presentation of goods on communication media, for retail purposes; business management consultancy; providing business information via a web site; organization of exhibitions for commercial or advertising purposes; commercial administration of the licensing of the goods and services of others; import-export agency services; sales promotion for others; marketing; provision of an online marketplace for buyers and sellers of goods and services.</w:t>
      </w:r>
    </w:p>
    <w:p w14:paraId="727F62F5" w14:textId="77777777" w:rsidR="00BD560F" w:rsidRPr="00DF15FE" w:rsidRDefault="00BD560F">
      <w:pPr>
        <w:jc w:val="both"/>
        <w:rPr>
          <w:color w:val="000000"/>
        </w:rPr>
      </w:pPr>
    </w:p>
    <w:p w14:paraId="2311A683" w14:textId="77777777" w:rsidR="00BD560F" w:rsidRPr="00DF15FE" w:rsidRDefault="00BD560F" w:rsidP="00BD560F">
      <w:pPr>
        <w:jc w:val="both"/>
      </w:pPr>
      <w:r w:rsidRPr="00DF15FE">
        <w:rPr>
          <w:color w:val="000000"/>
        </w:rPr>
        <w:t xml:space="preserve">In order to determine the marks’ level of reputation, all the relevant facts of the case must be taken into consideration, including, in particular, the market share held by the </w:t>
      </w:r>
      <w:proofErr w:type="gramStart"/>
      <w:r w:rsidRPr="00DF15FE">
        <w:rPr>
          <w:color w:val="000000"/>
        </w:rPr>
        <w:t>trade mark</w:t>
      </w:r>
      <w:proofErr w:type="gramEnd"/>
      <w:r w:rsidRPr="00DF15FE">
        <w:rPr>
          <w:color w:val="000000"/>
        </w:rPr>
        <w:t>, the intensity, geographical extent and duration of its use, and the size of the investment made by the undertaking in promoting it.</w:t>
      </w:r>
    </w:p>
    <w:p w14:paraId="772DA1DD" w14:textId="72A66721" w:rsidR="00BD560F" w:rsidRPr="00DF15FE" w:rsidRDefault="00BD560F" w:rsidP="00BD560F">
      <w:pPr>
        <w:jc w:val="both"/>
      </w:pPr>
      <w:r w:rsidRPr="00DF15FE">
        <w:rPr>
          <w:color w:val="000000"/>
        </w:rPr>
        <w:t> </w:t>
      </w:r>
    </w:p>
    <w:p w14:paraId="2CA796EB" w14:textId="25D4FA52" w:rsidR="00BD560F" w:rsidRPr="00DF15FE" w:rsidRDefault="00BD560F" w:rsidP="00BD560F">
      <w:pPr>
        <w:jc w:val="both"/>
        <w:rPr>
          <w:color w:val="000000"/>
          <w:szCs w:val="22"/>
        </w:rPr>
      </w:pPr>
      <w:r w:rsidRPr="00DF15FE">
        <w:rPr>
          <w:color w:val="000000"/>
          <w:szCs w:val="22"/>
        </w:rPr>
        <w:t xml:space="preserve">Within the time limit, to support its claim of reputation, the opponent has </w:t>
      </w:r>
      <w:r w:rsidR="00182CAC" w:rsidRPr="00DF15FE">
        <w:rPr>
          <w:color w:val="000000"/>
          <w:szCs w:val="22"/>
        </w:rPr>
        <w:t xml:space="preserve">submitted </w:t>
      </w:r>
      <w:r w:rsidR="00874B48" w:rsidRPr="00DF15FE">
        <w:rPr>
          <w:color w:val="000000"/>
          <w:szCs w:val="22"/>
        </w:rPr>
        <w:t xml:space="preserve">new evidence </w:t>
      </w:r>
      <w:r w:rsidR="00894B79" w:rsidRPr="00DF15FE">
        <w:rPr>
          <w:color w:val="000000"/>
          <w:szCs w:val="22"/>
        </w:rPr>
        <w:t xml:space="preserve">(recent Office </w:t>
      </w:r>
      <w:proofErr w:type="gramStart"/>
      <w:r w:rsidR="00894B79" w:rsidRPr="00DF15FE">
        <w:rPr>
          <w:color w:val="000000"/>
          <w:szCs w:val="22"/>
        </w:rPr>
        <w:t>decision</w:t>
      </w:r>
      <w:r w:rsidR="00623B8E" w:rsidRPr="00DF15FE">
        <w:rPr>
          <w:color w:val="000000"/>
          <w:szCs w:val="22"/>
        </w:rPr>
        <w:t xml:space="preserve">) </w:t>
      </w:r>
      <w:r w:rsidR="00894B79" w:rsidRPr="00DF15FE">
        <w:rPr>
          <w:color w:val="000000"/>
          <w:szCs w:val="22"/>
        </w:rPr>
        <w:t xml:space="preserve"> </w:t>
      </w:r>
      <w:r w:rsidR="00874B48" w:rsidRPr="00DF15FE">
        <w:rPr>
          <w:color w:val="000000"/>
          <w:szCs w:val="22"/>
        </w:rPr>
        <w:t>and</w:t>
      </w:r>
      <w:proofErr w:type="gramEnd"/>
      <w:r w:rsidR="00874B48" w:rsidRPr="00DF15FE">
        <w:rPr>
          <w:color w:val="000000"/>
          <w:szCs w:val="22"/>
        </w:rPr>
        <w:t xml:space="preserve"> in addition, it has </w:t>
      </w:r>
      <w:r w:rsidRPr="00DF15FE">
        <w:rPr>
          <w:color w:val="000000"/>
          <w:szCs w:val="22"/>
        </w:rPr>
        <w:t xml:space="preserve">referred to </w:t>
      </w:r>
      <w:r w:rsidR="00C65744" w:rsidRPr="00DF15FE">
        <w:rPr>
          <w:color w:val="000000"/>
          <w:szCs w:val="22"/>
        </w:rPr>
        <w:t xml:space="preserve">numerous </w:t>
      </w:r>
      <w:r w:rsidRPr="00DF15FE">
        <w:rPr>
          <w:color w:val="000000"/>
          <w:szCs w:val="22"/>
        </w:rPr>
        <w:t xml:space="preserve">materials submitted as evidence in other proceedings, which are clearly identified, </w:t>
      </w:r>
      <w:r w:rsidR="00874B48" w:rsidRPr="00DF15FE">
        <w:rPr>
          <w:color w:val="000000"/>
          <w:szCs w:val="22"/>
        </w:rPr>
        <w:t>namely</w:t>
      </w:r>
      <w:r w:rsidRPr="00DF15FE">
        <w:rPr>
          <w:color w:val="000000"/>
          <w:szCs w:val="22"/>
        </w:rPr>
        <w:t xml:space="preserve"> the following:</w:t>
      </w:r>
    </w:p>
    <w:p w14:paraId="134AA1B8" w14:textId="77777777" w:rsidR="00A577F3" w:rsidRPr="00DF15FE" w:rsidRDefault="00A577F3" w:rsidP="00BD560F">
      <w:pPr>
        <w:jc w:val="both"/>
        <w:rPr>
          <w:color w:val="000000"/>
          <w:szCs w:val="22"/>
        </w:rPr>
      </w:pPr>
    </w:p>
    <w:p w14:paraId="2EECEC61" w14:textId="6F9BF605" w:rsidR="00A577F3" w:rsidRPr="00DF15FE" w:rsidRDefault="00A577F3" w:rsidP="00A577F3">
      <w:pPr>
        <w:jc w:val="both"/>
        <w:rPr>
          <w:color w:val="000000"/>
          <w:szCs w:val="22"/>
          <w:u w:val="single"/>
        </w:rPr>
      </w:pPr>
      <w:r w:rsidRPr="00DF15FE">
        <w:rPr>
          <w:color w:val="000000"/>
          <w:szCs w:val="22"/>
          <w:u w:val="single"/>
        </w:rPr>
        <w:t xml:space="preserve">Proceedings B 3 194 708, evidence filed on 24/04/2023 </w:t>
      </w:r>
    </w:p>
    <w:p w14:paraId="5234FFE8" w14:textId="77777777" w:rsidR="00A577F3" w:rsidRPr="00DF15FE" w:rsidRDefault="00A577F3" w:rsidP="00A577F3">
      <w:pPr>
        <w:jc w:val="both"/>
        <w:rPr>
          <w:szCs w:val="22"/>
        </w:rPr>
      </w:pPr>
    </w:p>
    <w:p w14:paraId="564A49BC" w14:textId="77777777" w:rsidR="00A577F3" w:rsidRPr="00DF15FE" w:rsidRDefault="00A577F3" w:rsidP="00A577F3">
      <w:pPr>
        <w:ind w:left="960" w:hanging="360"/>
        <w:jc w:val="both"/>
        <w:rPr>
          <w:color w:val="000000"/>
          <w:szCs w:val="22"/>
        </w:rPr>
      </w:pPr>
    </w:p>
    <w:p w14:paraId="7AFBA50F" w14:textId="378506A5" w:rsidR="00A577F3" w:rsidRPr="00DF15FE" w:rsidRDefault="00A577F3" w:rsidP="00A577F3">
      <w:pPr>
        <w:ind w:left="960" w:hanging="360"/>
        <w:jc w:val="both"/>
        <w:rPr>
          <w:color w:val="000000"/>
          <w:szCs w:val="22"/>
        </w:rPr>
      </w:pPr>
      <w:r w:rsidRPr="00DF15FE">
        <w:rPr>
          <w:rFonts w:ascii="Symbol" w:hAnsi="Symbol"/>
          <w:color w:val="000000"/>
          <w:szCs w:val="22"/>
          <w:lang w:eastAsia="en-US"/>
        </w:rPr>
        <w:t></w:t>
      </w:r>
      <w:r w:rsidRPr="00DF15FE">
        <w:rPr>
          <w:rFonts w:ascii="Symbol" w:hAnsi="Symbol"/>
          <w:color w:val="000000"/>
          <w:szCs w:val="22"/>
          <w:lang w:eastAsia="en-US"/>
        </w:rPr>
        <w:tab/>
      </w:r>
      <w:r w:rsidRPr="00DF15FE">
        <w:rPr>
          <w:color w:val="000000"/>
          <w:szCs w:val="22"/>
        </w:rPr>
        <w:t>Annex</w:t>
      </w:r>
      <w:r w:rsidR="005B1B4B" w:rsidRPr="00DF15FE">
        <w:rPr>
          <w:color w:val="000000"/>
          <w:szCs w:val="22"/>
        </w:rPr>
        <w:t>1</w:t>
      </w:r>
      <w:r w:rsidRPr="00DF15FE">
        <w:rPr>
          <w:color w:val="000000"/>
          <w:szCs w:val="22"/>
        </w:rPr>
        <w:t>-</w:t>
      </w:r>
      <w:r w:rsidR="004138F7" w:rsidRPr="00DF15FE">
        <w:rPr>
          <w:color w:val="000000"/>
          <w:szCs w:val="22"/>
        </w:rPr>
        <w:t>6</w:t>
      </w:r>
      <w:r w:rsidRPr="00DF15FE">
        <w:rPr>
          <w:color w:val="000000"/>
          <w:szCs w:val="22"/>
        </w:rPr>
        <w:t xml:space="preserve">: </w:t>
      </w:r>
      <w:r w:rsidR="00E976F0" w:rsidRPr="00DF15FE">
        <w:rPr>
          <w:color w:val="000000"/>
          <w:szCs w:val="22"/>
        </w:rPr>
        <w:t>previous</w:t>
      </w:r>
      <w:r w:rsidR="004138F7" w:rsidRPr="00DF15FE">
        <w:rPr>
          <w:color w:val="000000"/>
          <w:szCs w:val="22"/>
        </w:rPr>
        <w:t xml:space="preserve">, recent, </w:t>
      </w:r>
      <w:r w:rsidR="00E976F0" w:rsidRPr="00DF15FE">
        <w:rPr>
          <w:color w:val="000000"/>
          <w:szCs w:val="22"/>
        </w:rPr>
        <w:t>Office decisions and Spanish PTO decisions</w:t>
      </w:r>
      <w:r w:rsidRPr="00DF15FE">
        <w:rPr>
          <w:color w:val="000000"/>
          <w:szCs w:val="22"/>
        </w:rPr>
        <w:t>.</w:t>
      </w:r>
    </w:p>
    <w:p w14:paraId="5370F17B" w14:textId="77777777" w:rsidR="00A577F3" w:rsidRPr="00DF15FE" w:rsidRDefault="00A577F3" w:rsidP="00BD560F">
      <w:pPr>
        <w:jc w:val="both"/>
        <w:rPr>
          <w:color w:val="000000"/>
          <w:szCs w:val="22"/>
        </w:rPr>
      </w:pPr>
    </w:p>
    <w:p w14:paraId="4CAF9F7B" w14:textId="01582B77" w:rsidR="004138F7" w:rsidRPr="00DF15FE" w:rsidRDefault="004138F7" w:rsidP="004138F7">
      <w:pPr>
        <w:jc w:val="both"/>
        <w:rPr>
          <w:color w:val="000000"/>
          <w:szCs w:val="22"/>
          <w:u w:val="single"/>
        </w:rPr>
      </w:pPr>
      <w:r w:rsidRPr="00DF15FE">
        <w:rPr>
          <w:color w:val="000000"/>
          <w:szCs w:val="22"/>
          <w:u w:val="single"/>
        </w:rPr>
        <w:t>Proceedings B 3 1</w:t>
      </w:r>
      <w:r w:rsidR="005B1B4B" w:rsidRPr="00DF15FE">
        <w:rPr>
          <w:color w:val="000000"/>
          <w:szCs w:val="22"/>
          <w:u w:val="single"/>
        </w:rPr>
        <w:t>7</w:t>
      </w:r>
      <w:r w:rsidRPr="00DF15FE">
        <w:rPr>
          <w:color w:val="000000"/>
          <w:szCs w:val="22"/>
          <w:u w:val="single"/>
        </w:rPr>
        <w:t xml:space="preserve">7 </w:t>
      </w:r>
      <w:r w:rsidR="005B1B4B" w:rsidRPr="00DF15FE">
        <w:rPr>
          <w:color w:val="000000"/>
          <w:szCs w:val="22"/>
          <w:u w:val="single"/>
        </w:rPr>
        <w:t>534</w:t>
      </w:r>
      <w:r w:rsidRPr="00DF15FE">
        <w:rPr>
          <w:color w:val="000000"/>
          <w:szCs w:val="22"/>
          <w:u w:val="single"/>
        </w:rPr>
        <w:t>, evidence filed on 25/0</w:t>
      </w:r>
      <w:r w:rsidR="005B1B4B" w:rsidRPr="00DF15FE">
        <w:rPr>
          <w:color w:val="000000"/>
          <w:szCs w:val="22"/>
          <w:u w:val="single"/>
        </w:rPr>
        <w:t>8</w:t>
      </w:r>
      <w:r w:rsidRPr="00DF15FE">
        <w:rPr>
          <w:color w:val="000000"/>
          <w:szCs w:val="22"/>
          <w:u w:val="single"/>
        </w:rPr>
        <w:t>/202</w:t>
      </w:r>
      <w:r w:rsidR="005B1B4B" w:rsidRPr="00DF15FE">
        <w:rPr>
          <w:color w:val="000000"/>
          <w:szCs w:val="22"/>
          <w:u w:val="single"/>
        </w:rPr>
        <w:t>2</w:t>
      </w:r>
      <w:r w:rsidRPr="00DF15FE">
        <w:rPr>
          <w:color w:val="000000"/>
          <w:szCs w:val="22"/>
          <w:u w:val="single"/>
        </w:rPr>
        <w:t xml:space="preserve"> </w:t>
      </w:r>
    </w:p>
    <w:p w14:paraId="08860276" w14:textId="77777777" w:rsidR="004138F7" w:rsidRPr="00DF15FE" w:rsidRDefault="004138F7" w:rsidP="004138F7">
      <w:pPr>
        <w:jc w:val="both"/>
        <w:rPr>
          <w:szCs w:val="22"/>
        </w:rPr>
      </w:pPr>
    </w:p>
    <w:p w14:paraId="18191501" w14:textId="77777777" w:rsidR="004138F7" w:rsidRPr="00DF15FE" w:rsidRDefault="004138F7" w:rsidP="004138F7">
      <w:pPr>
        <w:ind w:left="960" w:hanging="360"/>
        <w:jc w:val="both"/>
        <w:rPr>
          <w:color w:val="000000"/>
          <w:szCs w:val="22"/>
        </w:rPr>
      </w:pPr>
    </w:p>
    <w:p w14:paraId="3455841F" w14:textId="3D3BF1F5" w:rsidR="00BD560F" w:rsidRPr="00DF15FE" w:rsidRDefault="004138F7" w:rsidP="005B1B4B">
      <w:pPr>
        <w:ind w:left="960" w:hanging="360"/>
        <w:jc w:val="both"/>
        <w:rPr>
          <w:color w:val="000000"/>
          <w:szCs w:val="22"/>
        </w:rPr>
      </w:pPr>
      <w:r w:rsidRPr="00DF15FE">
        <w:rPr>
          <w:rFonts w:ascii="Symbol" w:hAnsi="Symbol"/>
          <w:color w:val="000000"/>
          <w:szCs w:val="22"/>
          <w:lang w:eastAsia="en-US"/>
        </w:rPr>
        <w:t></w:t>
      </w:r>
      <w:r w:rsidRPr="00DF15FE">
        <w:rPr>
          <w:rFonts w:ascii="Symbol" w:hAnsi="Symbol"/>
          <w:color w:val="000000"/>
          <w:szCs w:val="22"/>
          <w:lang w:eastAsia="en-US"/>
        </w:rPr>
        <w:tab/>
      </w:r>
      <w:r w:rsidRPr="00DF15FE">
        <w:rPr>
          <w:color w:val="000000"/>
          <w:szCs w:val="22"/>
        </w:rPr>
        <w:t xml:space="preserve">Annex </w:t>
      </w:r>
      <w:r w:rsidR="005B1B4B" w:rsidRPr="00DF15FE">
        <w:rPr>
          <w:color w:val="000000"/>
          <w:szCs w:val="22"/>
        </w:rPr>
        <w:t>1</w:t>
      </w:r>
      <w:r w:rsidRPr="00DF15FE">
        <w:rPr>
          <w:color w:val="000000"/>
          <w:szCs w:val="22"/>
        </w:rPr>
        <w:t>-</w:t>
      </w:r>
      <w:r w:rsidR="005B1B4B" w:rsidRPr="00DF15FE">
        <w:rPr>
          <w:color w:val="000000"/>
          <w:szCs w:val="22"/>
        </w:rPr>
        <w:t>2</w:t>
      </w:r>
      <w:r w:rsidRPr="00DF15FE">
        <w:rPr>
          <w:color w:val="000000"/>
          <w:szCs w:val="22"/>
        </w:rPr>
        <w:t xml:space="preserve">: </w:t>
      </w:r>
      <w:r w:rsidR="005B1B4B" w:rsidRPr="00DF15FE">
        <w:rPr>
          <w:color w:val="000000"/>
          <w:szCs w:val="22"/>
        </w:rPr>
        <w:t>previous, recent, Office decisions and Spanish PTO decisions.</w:t>
      </w:r>
    </w:p>
    <w:p w14:paraId="7B3BE61D" w14:textId="77777777" w:rsidR="005B1B4B" w:rsidRPr="00DF15FE" w:rsidRDefault="005B1B4B" w:rsidP="005B1B4B">
      <w:pPr>
        <w:ind w:left="960" w:hanging="360"/>
        <w:jc w:val="both"/>
        <w:rPr>
          <w:color w:val="000000"/>
          <w:szCs w:val="22"/>
        </w:rPr>
      </w:pPr>
    </w:p>
    <w:p w14:paraId="04867AE9" w14:textId="77777777" w:rsidR="005B1B4B" w:rsidRPr="00DF15FE" w:rsidRDefault="005B1B4B" w:rsidP="005B1B4B">
      <w:pPr>
        <w:ind w:left="960" w:hanging="360"/>
        <w:jc w:val="both"/>
        <w:rPr>
          <w:color w:val="000000"/>
        </w:rPr>
      </w:pPr>
    </w:p>
    <w:p w14:paraId="4FBA6F6E" w14:textId="77777777" w:rsidR="00BD560F" w:rsidRPr="00DF15FE" w:rsidRDefault="00BD560F" w:rsidP="00BD560F">
      <w:pPr>
        <w:jc w:val="both"/>
        <w:rPr>
          <w:color w:val="000000"/>
          <w:szCs w:val="22"/>
          <w:u w:val="single"/>
        </w:rPr>
      </w:pPr>
      <w:r w:rsidRPr="00DF15FE">
        <w:rPr>
          <w:color w:val="000000"/>
          <w:szCs w:val="22"/>
          <w:u w:val="single"/>
        </w:rPr>
        <w:t xml:space="preserve">Proceedings B 3 157 229, evidence filed on 25/10/2021 </w:t>
      </w:r>
    </w:p>
    <w:p w14:paraId="3E51A474" w14:textId="77777777" w:rsidR="00BD560F" w:rsidRPr="00DF15FE" w:rsidRDefault="00BD560F" w:rsidP="00BD560F">
      <w:pPr>
        <w:jc w:val="both"/>
        <w:rPr>
          <w:szCs w:val="22"/>
        </w:rPr>
      </w:pPr>
    </w:p>
    <w:p w14:paraId="5D1ED9A5" w14:textId="77777777" w:rsidR="00BD560F" w:rsidRPr="00DF15FE" w:rsidRDefault="00BD560F" w:rsidP="00BD560F">
      <w:pPr>
        <w:ind w:left="960" w:hanging="360"/>
        <w:jc w:val="both"/>
        <w:rPr>
          <w:color w:val="000000"/>
          <w:szCs w:val="22"/>
        </w:rPr>
      </w:pPr>
    </w:p>
    <w:p w14:paraId="0390712D" w14:textId="6EBFF445" w:rsidR="00BD560F" w:rsidRPr="00DF15FE" w:rsidRDefault="00BD560F" w:rsidP="00BD560F">
      <w:pPr>
        <w:ind w:left="960" w:hanging="360"/>
        <w:jc w:val="both"/>
        <w:rPr>
          <w:color w:val="000000"/>
          <w:szCs w:val="22"/>
        </w:rPr>
      </w:pPr>
      <w:r w:rsidRPr="00DF15FE">
        <w:rPr>
          <w:rFonts w:ascii="Symbol" w:hAnsi="Symbol"/>
          <w:color w:val="000000"/>
          <w:szCs w:val="22"/>
          <w:lang w:eastAsia="en-US"/>
        </w:rPr>
        <w:t></w:t>
      </w:r>
      <w:r w:rsidRPr="00DF15FE">
        <w:rPr>
          <w:rFonts w:ascii="Symbol" w:hAnsi="Symbol"/>
          <w:color w:val="000000"/>
          <w:szCs w:val="22"/>
          <w:lang w:eastAsia="en-US"/>
        </w:rPr>
        <w:tab/>
      </w:r>
      <w:r w:rsidRPr="00DF15FE">
        <w:rPr>
          <w:color w:val="000000"/>
          <w:szCs w:val="22"/>
        </w:rPr>
        <w:t>Annex 2-3</w:t>
      </w:r>
      <w:r w:rsidR="00273F2A" w:rsidRPr="00DF15FE">
        <w:rPr>
          <w:color w:val="000000"/>
          <w:szCs w:val="22"/>
        </w:rPr>
        <w:t>-5</w:t>
      </w:r>
      <w:r w:rsidRPr="00DF15FE">
        <w:rPr>
          <w:color w:val="000000"/>
          <w:szCs w:val="22"/>
        </w:rPr>
        <w:t>: Press clippings and advertising materials in Spain, dated in the period 2017-2019 related to perfumes.</w:t>
      </w:r>
    </w:p>
    <w:p w14:paraId="575283D8" w14:textId="77777777" w:rsidR="00BD560F" w:rsidRPr="00DF15FE" w:rsidRDefault="00BD560F" w:rsidP="00BD560F">
      <w:pPr>
        <w:pStyle w:val="Paragraphedeliste"/>
        <w:ind w:left="960"/>
        <w:jc w:val="both"/>
        <w:rPr>
          <w:color w:val="000000"/>
          <w:szCs w:val="22"/>
          <w:lang w:val="en-GB"/>
        </w:rPr>
      </w:pPr>
    </w:p>
    <w:p w14:paraId="1398CDAA" w14:textId="77777777" w:rsidR="00BD560F" w:rsidRPr="00DF15FE" w:rsidRDefault="00BD560F" w:rsidP="00BD560F">
      <w:pPr>
        <w:ind w:left="600"/>
        <w:jc w:val="both"/>
        <w:rPr>
          <w:color w:val="000000"/>
          <w:szCs w:val="22"/>
        </w:rPr>
      </w:pPr>
    </w:p>
    <w:p w14:paraId="68169E37" w14:textId="77777777" w:rsidR="00BD560F" w:rsidRPr="00DF15FE" w:rsidRDefault="00BD560F" w:rsidP="00BD560F">
      <w:pPr>
        <w:jc w:val="both"/>
        <w:rPr>
          <w:color w:val="000000"/>
          <w:szCs w:val="22"/>
        </w:rPr>
      </w:pPr>
    </w:p>
    <w:p w14:paraId="46C08B4E" w14:textId="77777777" w:rsidR="00BD560F" w:rsidRPr="00DF15FE" w:rsidRDefault="00BD560F" w:rsidP="00BD560F">
      <w:pPr>
        <w:jc w:val="both"/>
        <w:rPr>
          <w:color w:val="000000"/>
          <w:szCs w:val="22"/>
          <w:u w:val="single"/>
        </w:rPr>
      </w:pPr>
      <w:r w:rsidRPr="00DF15FE">
        <w:rPr>
          <w:color w:val="000000"/>
          <w:szCs w:val="22"/>
          <w:u w:val="single"/>
        </w:rPr>
        <w:t xml:space="preserve">Proceedings B 3 147 514, evidence filed on 25/05/2021 and 21/10/2021 </w:t>
      </w:r>
    </w:p>
    <w:p w14:paraId="63AD1BAE" w14:textId="77777777" w:rsidR="00BD560F" w:rsidRPr="00DF15FE" w:rsidRDefault="00BD560F" w:rsidP="00BD560F">
      <w:pPr>
        <w:jc w:val="both"/>
        <w:rPr>
          <w:color w:val="000000"/>
          <w:szCs w:val="22"/>
          <w:u w:val="single"/>
        </w:rPr>
      </w:pPr>
    </w:p>
    <w:p w14:paraId="030BD514" w14:textId="034D5D55" w:rsidR="00BD560F" w:rsidRPr="00DF15FE" w:rsidRDefault="00BD560F" w:rsidP="00BD560F">
      <w:pPr>
        <w:ind w:left="960" w:hanging="360"/>
        <w:jc w:val="both"/>
        <w:rPr>
          <w:color w:val="000000"/>
          <w:szCs w:val="22"/>
        </w:rPr>
      </w:pPr>
      <w:r w:rsidRPr="00DF15FE">
        <w:rPr>
          <w:rFonts w:ascii="Symbol" w:hAnsi="Symbol"/>
          <w:color w:val="000000"/>
          <w:szCs w:val="22"/>
        </w:rPr>
        <w:lastRenderedPageBreak/>
        <w:t></w:t>
      </w:r>
      <w:r w:rsidRPr="00DF15FE">
        <w:rPr>
          <w:rFonts w:ascii="Symbol" w:hAnsi="Symbol"/>
          <w:color w:val="000000"/>
          <w:szCs w:val="22"/>
        </w:rPr>
        <w:tab/>
      </w:r>
      <w:r w:rsidRPr="00DF15FE">
        <w:rPr>
          <w:color w:val="000000"/>
          <w:szCs w:val="22"/>
        </w:rPr>
        <w:t xml:space="preserve">Annex 1-2: decisions of the Spanish PTO dated 24/09/2021, in which the reputation of the opponent’s figurative mark ( </w:t>
      </w:r>
      <w:r w:rsidRPr="00DF15FE">
        <w:rPr>
          <w:noProof/>
        </w:rPr>
        <w:drawing>
          <wp:inline distT="0" distB="0" distL="0" distR="0" wp14:anchorId="26FB8249" wp14:editId="19C1FED1">
            <wp:extent cx="550947" cy="418720"/>
            <wp:effectExtent l="0" t="0" r="1905" b="635"/>
            <wp:docPr id="9" name="Picture 9"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005" cy="423324"/>
                    </a:xfrm>
                    <a:prstGeom prst="rect">
                      <a:avLst/>
                    </a:prstGeom>
                    <a:noFill/>
                    <a:ln>
                      <a:noFill/>
                    </a:ln>
                  </pic:spPr>
                </pic:pic>
              </a:graphicData>
            </a:graphic>
          </wp:inline>
        </w:drawing>
      </w:r>
      <w:r w:rsidRPr="00DF15FE">
        <w:rPr>
          <w:color w:val="000000"/>
          <w:szCs w:val="22"/>
        </w:rPr>
        <w:t xml:space="preserve"> ) is recognised for Class 3 products; 21 decisions, 2007-2021 issued by the Spanish PTO, recognising the earlier mark</w:t>
      </w:r>
      <w:r w:rsidR="005D29FE" w:rsidRPr="00DF15FE">
        <w:rPr>
          <w:color w:val="000000"/>
          <w:szCs w:val="22"/>
        </w:rPr>
        <w:t xml:space="preserve"> </w:t>
      </w:r>
      <w:proofErr w:type="gramStart"/>
      <w:r w:rsidR="005D29FE" w:rsidRPr="00DF15FE">
        <w:rPr>
          <w:color w:val="000000"/>
          <w:szCs w:val="22"/>
        </w:rPr>
        <w:t xml:space="preserve">CH’s </w:t>
      </w:r>
      <w:r w:rsidRPr="00DF15FE">
        <w:rPr>
          <w:color w:val="000000"/>
          <w:szCs w:val="22"/>
        </w:rPr>
        <w:t xml:space="preserve"> reputation</w:t>
      </w:r>
      <w:proofErr w:type="gramEnd"/>
      <w:r w:rsidRPr="00DF15FE">
        <w:rPr>
          <w:color w:val="000000"/>
          <w:szCs w:val="22"/>
        </w:rPr>
        <w:t>.</w:t>
      </w:r>
    </w:p>
    <w:p w14:paraId="77FA2532" w14:textId="77777777" w:rsidR="00BD560F" w:rsidRPr="00DF15FE" w:rsidRDefault="00BD560F" w:rsidP="00BD560F">
      <w:pPr>
        <w:ind w:left="960" w:hanging="360"/>
        <w:jc w:val="both"/>
        <w:rPr>
          <w:color w:val="000000"/>
          <w:szCs w:val="22"/>
        </w:rPr>
      </w:pPr>
    </w:p>
    <w:p w14:paraId="5271F390" w14:textId="6EE77270" w:rsidR="00BD560F" w:rsidRPr="00DF15FE" w:rsidRDefault="00BD560F" w:rsidP="00BD560F">
      <w:pPr>
        <w:pStyle w:val="Default"/>
        <w:ind w:left="960" w:hanging="360"/>
        <w:jc w:val="both"/>
        <w:rPr>
          <w:sz w:val="22"/>
          <w:szCs w:val="22"/>
          <w:lang w:val="en-GB" w:eastAsia="en-GB"/>
        </w:rPr>
      </w:pPr>
      <w:r w:rsidRPr="00DF15FE">
        <w:rPr>
          <w:rFonts w:ascii="Symbol" w:hAnsi="Symbol"/>
          <w:sz w:val="22"/>
          <w:szCs w:val="22"/>
          <w:lang w:val="en-GB" w:eastAsia="en-GB"/>
        </w:rPr>
        <w:t></w:t>
      </w:r>
      <w:r w:rsidRPr="00DF15FE">
        <w:rPr>
          <w:rFonts w:ascii="Symbol" w:hAnsi="Symbol"/>
          <w:sz w:val="22"/>
          <w:szCs w:val="22"/>
          <w:lang w:val="en-GB" w:eastAsia="en-GB"/>
        </w:rPr>
        <w:tab/>
      </w:r>
      <w:r w:rsidRPr="00DF15FE">
        <w:rPr>
          <w:sz w:val="22"/>
          <w:szCs w:val="22"/>
          <w:lang w:val="en-GB" w:eastAsia="en-GB"/>
        </w:rPr>
        <w:t xml:space="preserve">Annex 3: Board of Appeal of the Office decision dated 13/12/2012, recognising reputation of </w:t>
      </w:r>
      <w:r w:rsidR="003E55BC" w:rsidRPr="00DF15FE">
        <w:rPr>
          <w:sz w:val="22"/>
          <w:szCs w:val="22"/>
          <w:lang w:val="en-GB" w:eastAsia="en-GB"/>
        </w:rPr>
        <w:t>CH</w:t>
      </w:r>
      <w:r w:rsidRPr="00DF15FE">
        <w:rPr>
          <w:sz w:val="22"/>
          <w:szCs w:val="22"/>
          <w:lang w:val="en-GB" w:eastAsia="en-GB"/>
        </w:rPr>
        <w:t xml:space="preserve"> figurative mark for bags, fashion accessories and clothing.</w:t>
      </w:r>
    </w:p>
    <w:p w14:paraId="7899CA94" w14:textId="77777777" w:rsidR="00BD560F" w:rsidRPr="00DF15FE" w:rsidRDefault="00BD560F" w:rsidP="00BD560F">
      <w:pPr>
        <w:pStyle w:val="Paragraphedeliste"/>
        <w:ind w:left="960"/>
        <w:jc w:val="both"/>
        <w:rPr>
          <w:color w:val="000000"/>
          <w:szCs w:val="22"/>
        </w:rPr>
      </w:pPr>
    </w:p>
    <w:p w14:paraId="3EFD85DA" w14:textId="77777777" w:rsidR="00BD560F" w:rsidRPr="00DF15FE" w:rsidRDefault="00BD560F" w:rsidP="00BD560F">
      <w:pPr>
        <w:ind w:left="960" w:hanging="360"/>
        <w:jc w:val="both"/>
        <w:rPr>
          <w:color w:val="000000"/>
          <w:szCs w:val="22"/>
        </w:rPr>
      </w:pPr>
      <w:r w:rsidRPr="00DF15FE">
        <w:rPr>
          <w:rFonts w:ascii="Symbol" w:hAnsi="Symbol"/>
          <w:color w:val="000000"/>
          <w:szCs w:val="22"/>
          <w:lang w:eastAsia="en-US"/>
        </w:rPr>
        <w:t></w:t>
      </w:r>
      <w:r w:rsidRPr="00DF15FE">
        <w:rPr>
          <w:rFonts w:ascii="Symbol" w:hAnsi="Symbol"/>
          <w:color w:val="000000"/>
          <w:szCs w:val="22"/>
          <w:lang w:eastAsia="en-US"/>
        </w:rPr>
        <w:tab/>
      </w:r>
      <w:r w:rsidRPr="00DF15FE">
        <w:rPr>
          <w:color w:val="000000"/>
          <w:szCs w:val="22"/>
        </w:rPr>
        <w:t>Annex 4: Press clippings and advertising materials in Spain, dated in the period 2018-2019.</w:t>
      </w:r>
    </w:p>
    <w:p w14:paraId="1F04E03A" w14:textId="77777777" w:rsidR="00BD560F" w:rsidRPr="00DF15FE" w:rsidRDefault="00BD560F" w:rsidP="00BD560F">
      <w:pPr>
        <w:ind w:left="960" w:hanging="360"/>
        <w:jc w:val="both"/>
        <w:rPr>
          <w:color w:val="000000"/>
          <w:szCs w:val="22"/>
        </w:rPr>
      </w:pPr>
    </w:p>
    <w:p w14:paraId="191AD75B" w14:textId="77777777" w:rsidR="00BD560F" w:rsidRPr="00DF15FE" w:rsidRDefault="00BD560F" w:rsidP="00BD560F">
      <w:pPr>
        <w:ind w:left="960" w:hanging="360"/>
        <w:jc w:val="both"/>
        <w:rPr>
          <w:color w:val="000000"/>
          <w:szCs w:val="22"/>
        </w:rPr>
      </w:pPr>
      <w:r w:rsidRPr="00DF15FE">
        <w:rPr>
          <w:rFonts w:ascii="Symbol" w:hAnsi="Symbol"/>
          <w:color w:val="000000"/>
          <w:szCs w:val="22"/>
          <w:lang w:val="en-US" w:eastAsia="en-US"/>
        </w:rPr>
        <w:t></w:t>
      </w:r>
      <w:r w:rsidRPr="00DF15FE">
        <w:rPr>
          <w:rFonts w:ascii="Symbol" w:hAnsi="Symbol"/>
          <w:color w:val="000000"/>
          <w:szCs w:val="22"/>
          <w:lang w:val="en-US" w:eastAsia="en-US"/>
        </w:rPr>
        <w:tab/>
      </w:r>
      <w:r w:rsidRPr="00DF15FE">
        <w:rPr>
          <w:color w:val="000000"/>
          <w:szCs w:val="22"/>
        </w:rPr>
        <w:t xml:space="preserve">Annex 5: extract dated 04/09/2014, </w:t>
      </w:r>
      <w:r w:rsidRPr="00DF15FE">
        <w:rPr>
          <w:i/>
          <w:iCs/>
          <w:color w:val="000000"/>
          <w:szCs w:val="22"/>
        </w:rPr>
        <w:t>Forbes</w:t>
      </w:r>
      <w:r w:rsidRPr="00DF15FE">
        <w:rPr>
          <w:color w:val="000000"/>
          <w:szCs w:val="22"/>
        </w:rPr>
        <w:t>, informing that Carolina Herrera receives 2014 Couture Council Award for Artistry of Fashion.</w:t>
      </w:r>
    </w:p>
    <w:p w14:paraId="35C48012" w14:textId="77777777" w:rsidR="00BD560F" w:rsidRPr="00DF15FE" w:rsidRDefault="00BD560F" w:rsidP="00BD560F">
      <w:pPr>
        <w:pStyle w:val="Paragraphedeliste"/>
        <w:ind w:left="960"/>
        <w:jc w:val="both"/>
        <w:rPr>
          <w:color w:val="000000"/>
          <w:szCs w:val="22"/>
        </w:rPr>
      </w:pPr>
    </w:p>
    <w:p w14:paraId="4E720D5A" w14:textId="77777777" w:rsidR="00BD560F" w:rsidRPr="00DF15FE" w:rsidRDefault="00BD560F" w:rsidP="00BD560F">
      <w:pPr>
        <w:ind w:left="960" w:hanging="360"/>
        <w:jc w:val="both"/>
        <w:rPr>
          <w:color w:val="000000"/>
          <w:szCs w:val="22"/>
        </w:rPr>
      </w:pPr>
      <w:r w:rsidRPr="00DF15FE">
        <w:rPr>
          <w:rFonts w:ascii="Symbol" w:hAnsi="Symbol"/>
          <w:color w:val="000000"/>
          <w:szCs w:val="22"/>
          <w:lang w:val="en-US" w:eastAsia="en-US"/>
        </w:rPr>
        <w:t></w:t>
      </w:r>
      <w:r w:rsidRPr="00DF15FE">
        <w:rPr>
          <w:rFonts w:ascii="Symbol" w:hAnsi="Symbol"/>
          <w:color w:val="000000"/>
          <w:szCs w:val="22"/>
          <w:lang w:val="en-US" w:eastAsia="en-US"/>
        </w:rPr>
        <w:tab/>
      </w:r>
      <w:r w:rsidRPr="00DF15FE">
        <w:rPr>
          <w:color w:val="000000"/>
          <w:szCs w:val="22"/>
        </w:rPr>
        <w:t>Annex 6:</w:t>
      </w:r>
      <w:r w:rsidRPr="00DF15FE">
        <w:rPr>
          <w:szCs w:val="22"/>
        </w:rPr>
        <w:t xml:space="preserve"> </w:t>
      </w:r>
      <w:r w:rsidRPr="00DF15FE">
        <w:rPr>
          <w:color w:val="000000"/>
          <w:szCs w:val="22"/>
        </w:rPr>
        <w:t xml:space="preserve">Affidavit dated 2020 issued by the Legal IP Director of the opponent’s company showing goods bearing the earlier marks and turnover </w:t>
      </w:r>
      <w:proofErr w:type="gramStart"/>
      <w:r w:rsidRPr="00DF15FE">
        <w:rPr>
          <w:color w:val="000000"/>
          <w:szCs w:val="22"/>
        </w:rPr>
        <w:t>numbers  regarding</w:t>
      </w:r>
      <w:proofErr w:type="gramEnd"/>
      <w:r w:rsidRPr="00DF15FE">
        <w:rPr>
          <w:color w:val="000000"/>
          <w:szCs w:val="22"/>
        </w:rPr>
        <w:t xml:space="preserve"> sales made under the trade marks ‘CHHC’ and ‘CH Carolina Herrera’ for 2016-2019 in Spain; Germany and Portugal.</w:t>
      </w:r>
    </w:p>
    <w:p w14:paraId="0877153C" w14:textId="77777777" w:rsidR="00BD560F" w:rsidRPr="00DF15FE" w:rsidRDefault="00BD560F" w:rsidP="00BD560F">
      <w:pPr>
        <w:pStyle w:val="Paragraphedeliste"/>
        <w:ind w:left="960"/>
        <w:jc w:val="both"/>
        <w:rPr>
          <w:color w:val="000000"/>
          <w:szCs w:val="22"/>
        </w:rPr>
      </w:pPr>
    </w:p>
    <w:p w14:paraId="5B76429C"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Annexes 7 and 8: press clippings and magazines, in Spain, dated 2018-2019.</w:t>
      </w:r>
    </w:p>
    <w:p w14:paraId="62E65421" w14:textId="77777777" w:rsidR="00BD560F" w:rsidRPr="00DF15FE" w:rsidRDefault="00BD560F" w:rsidP="00BD560F">
      <w:pPr>
        <w:ind w:left="960" w:hanging="360"/>
        <w:jc w:val="both"/>
        <w:rPr>
          <w:color w:val="000000"/>
          <w:szCs w:val="22"/>
        </w:rPr>
      </w:pPr>
    </w:p>
    <w:p w14:paraId="393660B0" w14:textId="77777777" w:rsidR="00BD560F" w:rsidRPr="00DF15FE" w:rsidRDefault="00BD560F" w:rsidP="00BD560F">
      <w:pPr>
        <w:ind w:left="960" w:hanging="360"/>
        <w:jc w:val="both"/>
        <w:rPr>
          <w:color w:val="000000"/>
          <w:szCs w:val="22"/>
        </w:rPr>
      </w:pPr>
    </w:p>
    <w:p w14:paraId="76280C96" w14:textId="77777777" w:rsidR="00BD560F" w:rsidRPr="00DF15FE" w:rsidRDefault="00BD560F" w:rsidP="00BD560F">
      <w:pPr>
        <w:jc w:val="both"/>
        <w:rPr>
          <w:color w:val="000000"/>
          <w:szCs w:val="22"/>
          <w:u w:val="single"/>
        </w:rPr>
      </w:pPr>
      <w:r w:rsidRPr="00DF15FE">
        <w:rPr>
          <w:color w:val="000000"/>
          <w:szCs w:val="22"/>
          <w:u w:val="single"/>
        </w:rPr>
        <w:t>Proceedings B 3 141 143, evidence filed on 17/09/2021</w:t>
      </w:r>
    </w:p>
    <w:p w14:paraId="7977CFB9" w14:textId="77777777" w:rsidR="00BD560F" w:rsidRPr="00DF15FE" w:rsidRDefault="00BD560F" w:rsidP="00BD560F">
      <w:pPr>
        <w:jc w:val="both"/>
        <w:rPr>
          <w:color w:val="000000"/>
          <w:szCs w:val="22"/>
        </w:rPr>
      </w:pPr>
    </w:p>
    <w:p w14:paraId="0468E884"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Annexes 1 -10: press clippings, advertisements in Spain, and Spanish magazines extracts, dated 2016-2020.</w:t>
      </w:r>
    </w:p>
    <w:p w14:paraId="47ACD09E" w14:textId="77777777" w:rsidR="00BD560F" w:rsidRPr="00DF15FE" w:rsidRDefault="00BD560F" w:rsidP="00BD560F">
      <w:pPr>
        <w:jc w:val="both"/>
        <w:rPr>
          <w:color w:val="000000"/>
          <w:szCs w:val="22"/>
        </w:rPr>
      </w:pPr>
    </w:p>
    <w:p w14:paraId="4BCC0DDF" w14:textId="77777777" w:rsidR="00BD560F" w:rsidRPr="00DF15FE" w:rsidRDefault="00BD560F" w:rsidP="00BD560F">
      <w:pPr>
        <w:ind w:left="960" w:hanging="360"/>
        <w:jc w:val="both"/>
        <w:rPr>
          <w:color w:val="000000"/>
          <w:szCs w:val="22"/>
        </w:rPr>
      </w:pPr>
    </w:p>
    <w:p w14:paraId="6E3D00FF" w14:textId="77777777" w:rsidR="00BD560F" w:rsidRPr="00DF15FE" w:rsidRDefault="00BD560F" w:rsidP="00BD560F">
      <w:pPr>
        <w:jc w:val="both"/>
        <w:rPr>
          <w:color w:val="000000"/>
          <w:szCs w:val="22"/>
          <w:u w:val="single"/>
        </w:rPr>
      </w:pPr>
      <w:r w:rsidRPr="00DF15FE">
        <w:rPr>
          <w:color w:val="000000"/>
          <w:szCs w:val="22"/>
          <w:u w:val="single"/>
        </w:rPr>
        <w:t>Proceedings B 3 089 994, evidence filed on 26/07/2019</w:t>
      </w:r>
    </w:p>
    <w:p w14:paraId="355C2070" w14:textId="77777777" w:rsidR="00BD560F" w:rsidRPr="00DF15FE" w:rsidRDefault="00BD560F" w:rsidP="00BD560F">
      <w:pPr>
        <w:jc w:val="both"/>
        <w:rPr>
          <w:color w:val="000000"/>
          <w:szCs w:val="22"/>
        </w:rPr>
      </w:pPr>
    </w:p>
    <w:p w14:paraId="2A552E73"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 Office decision dated 15/09/2017, recognising the reputation of the earlier mark for perfumery products and clothing and ready-made clothing.</w:t>
      </w:r>
    </w:p>
    <w:p w14:paraId="20E3A960" w14:textId="77777777" w:rsidR="00BD560F" w:rsidRPr="00DF15FE" w:rsidRDefault="00BD560F" w:rsidP="00BD560F">
      <w:pPr>
        <w:ind w:left="960" w:hanging="360"/>
        <w:jc w:val="both"/>
        <w:rPr>
          <w:color w:val="000000"/>
          <w:szCs w:val="22"/>
        </w:rPr>
      </w:pPr>
    </w:p>
    <w:p w14:paraId="58E5992C" w14:textId="77777777" w:rsidR="00BD560F" w:rsidRPr="00DF15FE" w:rsidRDefault="00BD560F" w:rsidP="00BD560F">
      <w:pPr>
        <w:ind w:left="960" w:hanging="360"/>
        <w:jc w:val="both"/>
        <w:rPr>
          <w:color w:val="000000"/>
          <w:szCs w:val="22"/>
        </w:rPr>
      </w:pPr>
    </w:p>
    <w:p w14:paraId="7B3209E4" w14:textId="77777777" w:rsidR="00BD560F" w:rsidRPr="00DF15FE" w:rsidRDefault="00BD560F" w:rsidP="00BD560F">
      <w:pPr>
        <w:jc w:val="both"/>
        <w:rPr>
          <w:color w:val="000000"/>
          <w:szCs w:val="22"/>
          <w:u w:val="single"/>
        </w:rPr>
      </w:pPr>
      <w:r w:rsidRPr="00DF15FE">
        <w:rPr>
          <w:color w:val="000000"/>
          <w:szCs w:val="22"/>
          <w:u w:val="single"/>
        </w:rPr>
        <w:t>Proceedings B 2 799 859, evidence filed on 09/11/2016 and on 17/03/2017</w:t>
      </w:r>
    </w:p>
    <w:p w14:paraId="49B27906" w14:textId="77777777" w:rsidR="00BD560F" w:rsidRPr="00DF15FE" w:rsidRDefault="00BD560F" w:rsidP="00BD560F">
      <w:pPr>
        <w:jc w:val="both"/>
        <w:rPr>
          <w:color w:val="000000"/>
          <w:szCs w:val="22"/>
        </w:rPr>
      </w:pPr>
    </w:p>
    <w:p w14:paraId="5ED9A522"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 xml:space="preserve">Annex 1: An extract from &lt;CNN.com&gt;, dated 2012, entitled ‘How Carolina Herrera turned being chic into </w:t>
      </w:r>
      <w:proofErr w:type="gramStart"/>
      <w:r w:rsidRPr="00DF15FE">
        <w:rPr>
          <w:color w:val="000000"/>
          <w:szCs w:val="22"/>
        </w:rPr>
        <w:t>business’</w:t>
      </w:r>
      <w:proofErr w:type="gramEnd"/>
      <w:r w:rsidRPr="00DF15FE">
        <w:rPr>
          <w:color w:val="000000"/>
          <w:szCs w:val="22"/>
        </w:rPr>
        <w:t>.</w:t>
      </w:r>
    </w:p>
    <w:p w14:paraId="5EA0EDE7" w14:textId="77777777" w:rsidR="00BD560F" w:rsidRPr="00DF15FE" w:rsidRDefault="00BD560F" w:rsidP="00BD560F">
      <w:pPr>
        <w:ind w:left="960"/>
        <w:jc w:val="both"/>
        <w:rPr>
          <w:color w:val="000000"/>
          <w:szCs w:val="22"/>
        </w:rPr>
      </w:pPr>
    </w:p>
    <w:p w14:paraId="5ED3ADFA"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 xml:space="preserve">Annex 2: An extract from </w:t>
      </w:r>
      <w:r w:rsidRPr="00DF15FE">
        <w:rPr>
          <w:i/>
          <w:iCs/>
          <w:color w:val="000000"/>
          <w:szCs w:val="22"/>
        </w:rPr>
        <w:t xml:space="preserve">El </w:t>
      </w:r>
      <w:proofErr w:type="spellStart"/>
      <w:r w:rsidRPr="00DF15FE">
        <w:rPr>
          <w:i/>
          <w:iCs/>
          <w:color w:val="000000"/>
          <w:szCs w:val="22"/>
        </w:rPr>
        <w:t>Periódico</w:t>
      </w:r>
      <w:proofErr w:type="spellEnd"/>
      <w:r w:rsidRPr="00DF15FE">
        <w:rPr>
          <w:color w:val="000000"/>
          <w:szCs w:val="22"/>
        </w:rPr>
        <w:t xml:space="preserve">, dated 2007 (in Spanish, with an English translation). It is an interview with Carolina Herrera in which the sign ‘CH’ is mentioned in relation to fragrances. </w:t>
      </w:r>
    </w:p>
    <w:p w14:paraId="79C641B5" w14:textId="77777777" w:rsidR="00BD560F" w:rsidRPr="00DF15FE" w:rsidRDefault="00BD560F" w:rsidP="00BD560F">
      <w:pPr>
        <w:jc w:val="both"/>
        <w:rPr>
          <w:color w:val="000000"/>
          <w:szCs w:val="22"/>
        </w:rPr>
      </w:pPr>
    </w:p>
    <w:p w14:paraId="45D3C08E"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7:</w:t>
      </w:r>
      <w:r w:rsidRPr="00DF15FE">
        <w:rPr>
          <w:szCs w:val="22"/>
        </w:rPr>
        <w:t xml:space="preserve"> A certificate issued by the National Perfumery and Cosmetics Association (STANPA), stating that the fragrances and cosmetic products of the firm Carolina Herrera enjoy a high degree of recognition, prestige and reputation in the Spanish market and that the </w:t>
      </w:r>
      <w:proofErr w:type="spellStart"/>
      <w:proofErr w:type="gramStart"/>
      <w:r w:rsidRPr="00DF15FE">
        <w:rPr>
          <w:szCs w:val="22"/>
        </w:rPr>
        <w:t>trade marks</w:t>
      </w:r>
      <w:proofErr w:type="spellEnd"/>
      <w:proofErr w:type="gramEnd"/>
      <w:r w:rsidRPr="00DF15FE">
        <w:rPr>
          <w:szCs w:val="22"/>
        </w:rPr>
        <w:t xml:space="preserve"> ‘CAROLINA HERRERA’, ‘CH’, ‘212’ and ‘212 VIP’ are well known in the perfumery and cosmetics field. </w:t>
      </w:r>
    </w:p>
    <w:p w14:paraId="678ECE8A" w14:textId="77777777" w:rsidR="00BD560F" w:rsidRPr="00DF15FE" w:rsidRDefault="00BD560F" w:rsidP="00BD560F">
      <w:pPr>
        <w:ind w:left="960"/>
        <w:jc w:val="both"/>
        <w:rPr>
          <w:color w:val="000000"/>
          <w:szCs w:val="22"/>
        </w:rPr>
      </w:pPr>
    </w:p>
    <w:p w14:paraId="6C9684DB"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Annexes 8 and 9:</w:t>
      </w:r>
      <w:r w:rsidRPr="00DF15FE">
        <w:rPr>
          <w:szCs w:val="22"/>
        </w:rPr>
        <w:t xml:space="preserve"> Ju</w:t>
      </w:r>
      <w:r w:rsidRPr="00DF15FE">
        <w:rPr>
          <w:color w:val="000000"/>
          <w:szCs w:val="22"/>
        </w:rPr>
        <w:t xml:space="preserve">dgements of the EUTM Court No 1 of Alicante, issued in 2011 (in Spanish with partial English translation), relating to, inter alia, the trade mark </w:t>
      </w:r>
      <w:r w:rsidRPr="00DF15FE">
        <w:rPr>
          <w:color w:val="000000"/>
          <w:szCs w:val="22"/>
        </w:rPr>
        <w:lastRenderedPageBreak/>
        <w:t>‘CH</w:t>
      </w:r>
      <w:proofErr w:type="gramStart"/>
      <w:r w:rsidRPr="00DF15FE">
        <w:rPr>
          <w:color w:val="000000"/>
          <w:szCs w:val="22"/>
        </w:rPr>
        <w:t>’,  recognising</w:t>
      </w:r>
      <w:proofErr w:type="gramEnd"/>
      <w:r w:rsidRPr="00DF15FE">
        <w:rPr>
          <w:color w:val="000000"/>
          <w:szCs w:val="22"/>
        </w:rPr>
        <w:t xml:space="preserve"> it as well known in relation to clothing and accessories in Class 18.</w:t>
      </w:r>
    </w:p>
    <w:p w14:paraId="6573C802" w14:textId="77777777" w:rsidR="00BD560F" w:rsidRPr="00DF15FE" w:rsidRDefault="00BD560F" w:rsidP="00BD560F">
      <w:pPr>
        <w:jc w:val="both"/>
        <w:rPr>
          <w:color w:val="000000"/>
          <w:szCs w:val="22"/>
        </w:rPr>
      </w:pPr>
    </w:p>
    <w:p w14:paraId="25CCD7B5"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Annexes 10 and 11:</w:t>
      </w:r>
      <w:r w:rsidRPr="00DF15FE">
        <w:rPr>
          <w:szCs w:val="22"/>
        </w:rPr>
        <w:t xml:space="preserve"> Judgements</w:t>
      </w:r>
      <w:r w:rsidRPr="00DF15FE">
        <w:rPr>
          <w:color w:val="000000"/>
          <w:szCs w:val="22"/>
        </w:rPr>
        <w:t xml:space="preserve"> of the EUTM Court No 2 of Alicante, issued in 2015 and 2016 (in Spanish with English translations of extracts), relating to, inter alia, the </w:t>
      </w:r>
      <w:proofErr w:type="spellStart"/>
      <w:proofErr w:type="gramStart"/>
      <w:r w:rsidRPr="00DF15FE">
        <w:rPr>
          <w:color w:val="000000"/>
          <w:szCs w:val="22"/>
        </w:rPr>
        <w:t>trade marks</w:t>
      </w:r>
      <w:proofErr w:type="spellEnd"/>
      <w:proofErr w:type="gramEnd"/>
      <w:r w:rsidRPr="00DF15FE">
        <w:rPr>
          <w:color w:val="000000"/>
          <w:szCs w:val="22"/>
        </w:rPr>
        <w:t xml:space="preserve"> ‘CH’ and ‘CAROLINA HERRERA’, recognising the latter as reputed for perfumery.</w:t>
      </w:r>
    </w:p>
    <w:p w14:paraId="3E7C1292" w14:textId="77777777" w:rsidR="00BD560F" w:rsidRPr="00DF15FE" w:rsidRDefault="00BD560F" w:rsidP="00BD560F">
      <w:pPr>
        <w:jc w:val="both"/>
        <w:rPr>
          <w:color w:val="000000"/>
          <w:szCs w:val="22"/>
        </w:rPr>
      </w:pPr>
    </w:p>
    <w:p w14:paraId="38E14062"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 xml:space="preserve">Annex 12: An extract from a market study dated October 2012, in which ‘Carolina Herrera’ is ranked among the top five brands on the Spanish market. Moreover, the </w:t>
      </w:r>
      <w:proofErr w:type="gramStart"/>
      <w:r w:rsidRPr="00DF15FE">
        <w:rPr>
          <w:color w:val="000000"/>
          <w:szCs w:val="22"/>
        </w:rPr>
        <w:t>trade mark</w:t>
      </w:r>
      <w:proofErr w:type="gramEnd"/>
      <w:r w:rsidRPr="00DF15FE">
        <w:rPr>
          <w:color w:val="000000"/>
          <w:szCs w:val="22"/>
        </w:rPr>
        <w:t xml:space="preserve"> ‘CH’ appears as a sub-brand with a lower ranking.</w:t>
      </w:r>
    </w:p>
    <w:p w14:paraId="346FC52C" w14:textId="77777777" w:rsidR="00BD560F" w:rsidRPr="00DF15FE" w:rsidRDefault="00BD560F" w:rsidP="00BD560F">
      <w:pPr>
        <w:jc w:val="both"/>
        <w:rPr>
          <w:color w:val="000000"/>
          <w:szCs w:val="22"/>
        </w:rPr>
      </w:pPr>
    </w:p>
    <w:p w14:paraId="3EEBED18"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13: Sales figures for 2010-2013 for the brand ‘Carolina Herrera’ and ‘CH’ in Spain (unknown source).</w:t>
      </w:r>
    </w:p>
    <w:p w14:paraId="7BF38FD3" w14:textId="77777777" w:rsidR="00BD560F" w:rsidRPr="00DF15FE" w:rsidRDefault="00BD560F" w:rsidP="00BD560F">
      <w:pPr>
        <w:jc w:val="both"/>
        <w:rPr>
          <w:color w:val="000000"/>
          <w:szCs w:val="22"/>
        </w:rPr>
      </w:pPr>
    </w:p>
    <w:p w14:paraId="49E19740"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14:</w:t>
      </w:r>
      <w:r w:rsidRPr="00DF15FE">
        <w:rPr>
          <w:szCs w:val="22"/>
        </w:rPr>
        <w:t xml:space="preserve"> </w:t>
      </w:r>
      <w:r w:rsidRPr="00DF15FE">
        <w:rPr>
          <w:color w:val="000000"/>
          <w:szCs w:val="22"/>
        </w:rPr>
        <w:t xml:space="preserve">Affidavit by the Legal Director of the opponent’s company regarding sales made under the </w:t>
      </w:r>
      <w:proofErr w:type="gramStart"/>
      <w:r w:rsidRPr="00DF15FE">
        <w:rPr>
          <w:color w:val="000000"/>
          <w:szCs w:val="22"/>
        </w:rPr>
        <w:t>trade marks</w:t>
      </w:r>
      <w:proofErr w:type="gramEnd"/>
      <w:r w:rsidRPr="00DF15FE">
        <w:rPr>
          <w:color w:val="000000"/>
          <w:szCs w:val="22"/>
        </w:rPr>
        <w:t xml:space="preserve"> ‘CHHC’ and ‘CH Carolina Herrera’ for 2007-2010 in Spain.</w:t>
      </w:r>
    </w:p>
    <w:p w14:paraId="6E7446FE" w14:textId="77777777" w:rsidR="00BD560F" w:rsidRPr="00DF15FE" w:rsidRDefault="00BD560F" w:rsidP="00BD560F">
      <w:pPr>
        <w:pStyle w:val="Paragraphedeliste"/>
        <w:rPr>
          <w:color w:val="000000"/>
          <w:szCs w:val="22"/>
          <w:lang w:val="en-GB"/>
        </w:rPr>
      </w:pPr>
    </w:p>
    <w:p w14:paraId="7DD468D1"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15: Sales figures for 2008-2009 under the mark ‘CH’ (source unknown).</w:t>
      </w:r>
    </w:p>
    <w:p w14:paraId="58C62584" w14:textId="77777777" w:rsidR="00BD560F" w:rsidRPr="00DF15FE" w:rsidRDefault="00BD560F" w:rsidP="00BD560F">
      <w:pPr>
        <w:pStyle w:val="Paragraphedeliste"/>
        <w:rPr>
          <w:color w:val="000000"/>
          <w:szCs w:val="22"/>
          <w:lang w:val="en-GB"/>
        </w:rPr>
      </w:pPr>
    </w:p>
    <w:p w14:paraId="449A2214"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16: A ranking of total perfume sales for 2010 (from &lt;revistavpc.es&gt;), in which CH (Carolina Herrera) is ranked number six in Spain.</w:t>
      </w:r>
    </w:p>
    <w:p w14:paraId="681A2D09" w14:textId="77777777" w:rsidR="00BD560F" w:rsidRPr="00DF15FE" w:rsidRDefault="00BD560F" w:rsidP="00BD560F">
      <w:pPr>
        <w:pStyle w:val="Paragraphedeliste"/>
        <w:rPr>
          <w:color w:val="000000"/>
          <w:szCs w:val="22"/>
          <w:lang w:val="en-GB"/>
        </w:rPr>
      </w:pPr>
    </w:p>
    <w:p w14:paraId="4F3E8EF5"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17: A ranking of sales in Spain, in which Carolina Herrera CH is ranked number eight.</w:t>
      </w:r>
    </w:p>
    <w:p w14:paraId="2DFF1AEE" w14:textId="77777777" w:rsidR="00BD560F" w:rsidRPr="00DF15FE" w:rsidRDefault="00BD560F" w:rsidP="00BD560F">
      <w:pPr>
        <w:pStyle w:val="Paragraphedeliste"/>
        <w:rPr>
          <w:color w:val="000000"/>
          <w:szCs w:val="22"/>
          <w:lang w:val="en-GB"/>
        </w:rPr>
      </w:pPr>
    </w:p>
    <w:p w14:paraId="2EB8F2B4"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18: An extract from the biography of the designer Carolina Herrera from &lt;encyclopedia.com&gt;, relating to the launch of the ‘CH’ brand.</w:t>
      </w:r>
    </w:p>
    <w:p w14:paraId="0843BFDB" w14:textId="77777777" w:rsidR="00BD560F" w:rsidRPr="00DF15FE" w:rsidRDefault="00BD560F" w:rsidP="00BD560F">
      <w:pPr>
        <w:pStyle w:val="Paragraphedeliste"/>
        <w:rPr>
          <w:color w:val="000000"/>
          <w:szCs w:val="22"/>
          <w:lang w:val="en-GB"/>
        </w:rPr>
      </w:pPr>
    </w:p>
    <w:p w14:paraId="2A23ED95"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19: A list of awards won by ‘CH’ perfumes in Spain, in the period 2008-2010.</w:t>
      </w:r>
    </w:p>
    <w:p w14:paraId="3F5E295F" w14:textId="77777777" w:rsidR="00BD560F" w:rsidRPr="00DF15FE" w:rsidRDefault="00BD560F" w:rsidP="00BD560F">
      <w:pPr>
        <w:pStyle w:val="Paragraphedeliste"/>
        <w:rPr>
          <w:color w:val="000000"/>
          <w:szCs w:val="22"/>
          <w:lang w:val="en-GB"/>
        </w:rPr>
      </w:pPr>
    </w:p>
    <w:p w14:paraId="1A65FCDA"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20: Press articles with depictions of perfumes bearing the sign ‘CH’ and articles relating to the brand ‘CH’.</w:t>
      </w:r>
    </w:p>
    <w:p w14:paraId="55A1FAC8" w14:textId="77777777" w:rsidR="00BD560F" w:rsidRPr="00DF15FE" w:rsidRDefault="00BD560F" w:rsidP="00BD560F">
      <w:pPr>
        <w:pStyle w:val="Paragraphedeliste"/>
        <w:rPr>
          <w:color w:val="000000"/>
          <w:szCs w:val="22"/>
          <w:lang w:val="en-GB"/>
        </w:rPr>
      </w:pPr>
    </w:p>
    <w:p w14:paraId="421E9E5A"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21: An interview with Carolina Herrera published in Glamour in September 2007, which refers to a fragrance available soon called ‘CH’.</w:t>
      </w:r>
    </w:p>
    <w:p w14:paraId="2BADB86A" w14:textId="77777777" w:rsidR="00BD560F" w:rsidRPr="00DF15FE" w:rsidRDefault="00BD560F" w:rsidP="00BD560F">
      <w:pPr>
        <w:pStyle w:val="Paragraphedeliste"/>
        <w:rPr>
          <w:color w:val="000000"/>
          <w:szCs w:val="22"/>
          <w:lang w:val="en-GB"/>
        </w:rPr>
      </w:pPr>
    </w:p>
    <w:p w14:paraId="42888C8E"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22: Map of Spain marked with the locations of Carolina Herrera boutiques.</w:t>
      </w:r>
    </w:p>
    <w:p w14:paraId="0B84F975" w14:textId="77777777" w:rsidR="00BD560F" w:rsidRPr="00DF15FE" w:rsidRDefault="00BD560F" w:rsidP="00BD560F">
      <w:pPr>
        <w:pStyle w:val="Paragraphedeliste"/>
        <w:rPr>
          <w:color w:val="000000"/>
          <w:szCs w:val="22"/>
          <w:lang w:val="en-GB"/>
        </w:rPr>
      </w:pPr>
    </w:p>
    <w:p w14:paraId="0762B721"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23: Sample advertisements in magazines for ‘CH’ perfumes, 2003-2010 (in which the mark is written in different typefaces).</w:t>
      </w:r>
    </w:p>
    <w:p w14:paraId="7118143F" w14:textId="77777777" w:rsidR="00BD560F" w:rsidRPr="00DF15FE" w:rsidRDefault="00BD560F" w:rsidP="00BD560F">
      <w:pPr>
        <w:pStyle w:val="Paragraphedeliste"/>
        <w:rPr>
          <w:color w:val="000000"/>
          <w:szCs w:val="22"/>
          <w:lang w:val="en-GB"/>
        </w:rPr>
      </w:pPr>
    </w:p>
    <w:p w14:paraId="43CDBBFC"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24: Sample advertisements in magazines for clothing, goods, bags and jewellery, 2003-2010.</w:t>
      </w:r>
    </w:p>
    <w:p w14:paraId="46B17934" w14:textId="77777777" w:rsidR="00BD560F" w:rsidRPr="00DF15FE" w:rsidRDefault="00BD560F" w:rsidP="00BD560F">
      <w:pPr>
        <w:pStyle w:val="Paragraphedeliste"/>
        <w:rPr>
          <w:color w:val="000000"/>
          <w:szCs w:val="22"/>
          <w:lang w:val="en-GB"/>
        </w:rPr>
      </w:pPr>
    </w:p>
    <w:p w14:paraId="2183A4BF"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25: Extracts from Elle Fashion Book Spring-Summer 2010.</w:t>
      </w:r>
    </w:p>
    <w:p w14:paraId="5253F998" w14:textId="77777777" w:rsidR="00BD560F" w:rsidRPr="00DF15FE" w:rsidRDefault="00BD560F" w:rsidP="00BD560F">
      <w:pPr>
        <w:ind w:left="960" w:hanging="360"/>
        <w:jc w:val="both"/>
        <w:rPr>
          <w:color w:val="000000"/>
          <w:szCs w:val="22"/>
        </w:rPr>
      </w:pPr>
    </w:p>
    <w:p w14:paraId="7A9B1D9F" w14:textId="77777777" w:rsidR="00BD560F" w:rsidRPr="00DF15FE" w:rsidRDefault="00BD560F" w:rsidP="00BD560F">
      <w:pPr>
        <w:ind w:left="960" w:hanging="360"/>
        <w:jc w:val="both"/>
        <w:rPr>
          <w:color w:val="000000"/>
          <w:szCs w:val="22"/>
        </w:rPr>
      </w:pPr>
    </w:p>
    <w:p w14:paraId="2BCC6210" w14:textId="77777777" w:rsidR="00BD560F" w:rsidRPr="00DF15FE" w:rsidRDefault="00BD560F" w:rsidP="00BD560F">
      <w:pPr>
        <w:jc w:val="both"/>
        <w:rPr>
          <w:color w:val="000000"/>
          <w:szCs w:val="22"/>
          <w:u w:val="single"/>
        </w:rPr>
      </w:pPr>
      <w:r w:rsidRPr="00DF15FE">
        <w:rPr>
          <w:color w:val="000000"/>
          <w:szCs w:val="22"/>
          <w:u w:val="single"/>
        </w:rPr>
        <w:t>Proceedings B 3 071 871, evidence filed on 21/12/2018 and on 16/05/2019</w:t>
      </w:r>
    </w:p>
    <w:p w14:paraId="5ADAB8AF" w14:textId="77777777" w:rsidR="00BD560F" w:rsidRPr="00DF15FE" w:rsidRDefault="00BD560F" w:rsidP="00BD560F">
      <w:pPr>
        <w:jc w:val="both"/>
        <w:rPr>
          <w:color w:val="000000"/>
          <w:szCs w:val="22"/>
          <w:u w:val="single"/>
        </w:rPr>
      </w:pPr>
    </w:p>
    <w:p w14:paraId="13EBE63F"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2:</w:t>
      </w:r>
      <w:r w:rsidRPr="00DF15FE">
        <w:rPr>
          <w:szCs w:val="22"/>
        </w:rPr>
        <w:t xml:space="preserve"> </w:t>
      </w:r>
      <w:r w:rsidRPr="00DF15FE">
        <w:rPr>
          <w:color w:val="000000"/>
          <w:szCs w:val="22"/>
        </w:rPr>
        <w:t xml:space="preserve">2 certificates issued by National Association for the Defence of the </w:t>
      </w:r>
      <w:proofErr w:type="gramStart"/>
      <w:r w:rsidRPr="00DF15FE">
        <w:rPr>
          <w:color w:val="000000"/>
          <w:szCs w:val="22"/>
        </w:rPr>
        <w:t>Trade mark</w:t>
      </w:r>
      <w:proofErr w:type="gramEnd"/>
      <w:r w:rsidRPr="00DF15FE">
        <w:rPr>
          <w:color w:val="000000"/>
          <w:szCs w:val="22"/>
        </w:rPr>
        <w:t xml:space="preserve"> (ANDEMA) in 2013 and 2016 attesting to the reputation of the mark CH in Spain, with an English translation of the first one.</w:t>
      </w:r>
    </w:p>
    <w:p w14:paraId="5BECBC1A" w14:textId="77777777" w:rsidR="00BD560F" w:rsidRPr="00DF15FE" w:rsidRDefault="00BD560F" w:rsidP="00BD560F">
      <w:pPr>
        <w:jc w:val="both"/>
        <w:rPr>
          <w:color w:val="000000"/>
          <w:szCs w:val="22"/>
        </w:rPr>
      </w:pPr>
    </w:p>
    <w:p w14:paraId="23F91AA6"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4: 14 decisions rendered by the Spanish PTO stating that the mark CH has a reputation, with English translations.</w:t>
      </w:r>
    </w:p>
    <w:p w14:paraId="268006AE" w14:textId="77777777" w:rsidR="00BD560F" w:rsidRPr="00DF15FE" w:rsidRDefault="00BD560F" w:rsidP="00BD560F">
      <w:pPr>
        <w:jc w:val="both"/>
        <w:rPr>
          <w:color w:val="000000"/>
          <w:szCs w:val="22"/>
        </w:rPr>
      </w:pPr>
    </w:p>
    <w:p w14:paraId="188D19C7"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 xml:space="preserve">Annex 9: Extract of market study </w:t>
      </w:r>
      <w:r w:rsidRPr="00DF15FE">
        <w:rPr>
          <w:i/>
          <w:iCs/>
          <w:color w:val="000000"/>
          <w:szCs w:val="22"/>
        </w:rPr>
        <w:t xml:space="preserve">Brand Equity Monitor Market: Spain Prestige + Awareness </w:t>
      </w:r>
      <w:r w:rsidRPr="00DF15FE">
        <w:rPr>
          <w:color w:val="000000"/>
          <w:szCs w:val="22"/>
        </w:rPr>
        <w:t>perspective in other European countries, February 2019, by Kantar Millward Brown, showing (pages 10-13) that CH is among the Top 10 Equity brands and has an aided awareness of 70% in Spain.</w:t>
      </w:r>
    </w:p>
    <w:p w14:paraId="7822B597" w14:textId="77777777" w:rsidR="00BD560F" w:rsidRPr="00DF15FE" w:rsidRDefault="00BD560F" w:rsidP="00BD560F">
      <w:pPr>
        <w:jc w:val="both"/>
        <w:rPr>
          <w:color w:val="000000"/>
          <w:szCs w:val="22"/>
        </w:rPr>
      </w:pPr>
    </w:p>
    <w:p w14:paraId="669D5AF0"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10: Certification issued by (Spain’s) National Perfumery and Cosmetics Association (STANPA) in 2019, with English translation, certifying that the mark CH has a reputation in the perfumery and cosmetics field.</w:t>
      </w:r>
    </w:p>
    <w:p w14:paraId="3DB69768" w14:textId="77777777" w:rsidR="00BD560F" w:rsidRPr="00DF15FE" w:rsidRDefault="00BD560F" w:rsidP="00BD560F">
      <w:pPr>
        <w:jc w:val="both"/>
        <w:rPr>
          <w:color w:val="000000"/>
          <w:szCs w:val="22"/>
        </w:rPr>
      </w:pPr>
    </w:p>
    <w:p w14:paraId="20DB520A"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11:</w:t>
      </w:r>
      <w:r w:rsidRPr="00DF15FE">
        <w:rPr>
          <w:szCs w:val="22"/>
        </w:rPr>
        <w:t xml:space="preserve"> </w:t>
      </w:r>
      <w:r w:rsidRPr="00DF15FE">
        <w:rPr>
          <w:color w:val="000000"/>
          <w:szCs w:val="22"/>
        </w:rPr>
        <w:t>2 decisions rendered by the SPTO stating that the mark CH has a reputation, with English translations.</w:t>
      </w:r>
    </w:p>
    <w:p w14:paraId="18E71AA2" w14:textId="77777777" w:rsidR="00BD560F" w:rsidRPr="00DF15FE" w:rsidRDefault="00BD560F" w:rsidP="00BD560F">
      <w:pPr>
        <w:jc w:val="both"/>
        <w:rPr>
          <w:color w:val="000000"/>
          <w:szCs w:val="22"/>
        </w:rPr>
      </w:pPr>
    </w:p>
    <w:p w14:paraId="74F579E3" w14:textId="77777777" w:rsidR="00BD560F" w:rsidRPr="00DF15FE" w:rsidRDefault="00BD560F" w:rsidP="00BD560F">
      <w:pPr>
        <w:ind w:left="960" w:hanging="360"/>
        <w:jc w:val="both"/>
        <w:rPr>
          <w:color w:val="000000"/>
          <w:szCs w:val="22"/>
        </w:rPr>
      </w:pPr>
      <w:r w:rsidRPr="00DF15FE">
        <w:rPr>
          <w:rFonts w:ascii="Symbol" w:hAnsi="Symbol"/>
          <w:color w:val="000000"/>
          <w:szCs w:val="22"/>
        </w:rPr>
        <w:t></w:t>
      </w:r>
      <w:r w:rsidRPr="00DF15FE">
        <w:rPr>
          <w:rFonts w:ascii="Symbol" w:hAnsi="Symbol"/>
          <w:color w:val="000000"/>
          <w:szCs w:val="22"/>
        </w:rPr>
        <w:tab/>
      </w:r>
      <w:r w:rsidRPr="00DF15FE">
        <w:rPr>
          <w:color w:val="000000"/>
          <w:szCs w:val="22"/>
        </w:rPr>
        <w:t>Annex 13:</w:t>
      </w:r>
      <w:r w:rsidRPr="00DF15FE">
        <w:rPr>
          <w:szCs w:val="22"/>
        </w:rPr>
        <w:t xml:space="preserve"> </w:t>
      </w:r>
      <w:r w:rsidRPr="00DF15FE">
        <w:rPr>
          <w:color w:val="000000"/>
          <w:szCs w:val="22"/>
        </w:rPr>
        <w:t>Sales figures for CH branded perfumery and cosmetic goods in the EU for the period 2011-2018, showing that sales in Spain (page 2 of the document) were over EUR 93 million, whilst total sales were over EUR 125 million.</w:t>
      </w:r>
    </w:p>
    <w:p w14:paraId="0851ECC9" w14:textId="77777777" w:rsidR="00BD560F" w:rsidRPr="00DF15FE" w:rsidRDefault="00BD560F" w:rsidP="00BD560F">
      <w:pPr>
        <w:jc w:val="both"/>
        <w:rPr>
          <w:color w:val="000000"/>
          <w:szCs w:val="22"/>
        </w:rPr>
      </w:pPr>
    </w:p>
    <w:p w14:paraId="14441647" w14:textId="2693C0AD" w:rsidR="0026617C" w:rsidRPr="00DF15FE" w:rsidRDefault="0026617C" w:rsidP="0026617C">
      <w:pPr>
        <w:jc w:val="both"/>
        <w:rPr>
          <w:color w:val="000000"/>
          <w:szCs w:val="22"/>
        </w:rPr>
      </w:pPr>
      <w:r w:rsidRPr="00DF15FE">
        <w:rPr>
          <w:color w:val="000000"/>
          <w:szCs w:val="22"/>
        </w:rPr>
        <w:t xml:space="preserve">In addition, the opponent filed supplemental evidence, </w:t>
      </w:r>
      <w:r w:rsidR="00252F6E" w:rsidRPr="00DF15FE">
        <w:rPr>
          <w:color w:val="000000"/>
          <w:szCs w:val="22"/>
        </w:rPr>
        <w:t xml:space="preserve">including a market study dated 2023 by KANTAR, </w:t>
      </w:r>
      <w:r w:rsidR="00CE0E22" w:rsidRPr="00DF15FE">
        <w:rPr>
          <w:color w:val="000000"/>
          <w:szCs w:val="22"/>
        </w:rPr>
        <w:t xml:space="preserve">showing a reputation of CH in relation to fragrances </w:t>
      </w:r>
      <w:r w:rsidR="00543A60" w:rsidRPr="00DF15FE">
        <w:rPr>
          <w:color w:val="000000"/>
          <w:szCs w:val="22"/>
        </w:rPr>
        <w:t xml:space="preserve">as well as </w:t>
      </w:r>
      <w:r w:rsidR="00CB79E9" w:rsidRPr="00DF15FE">
        <w:rPr>
          <w:color w:val="000000"/>
          <w:szCs w:val="22"/>
        </w:rPr>
        <w:t xml:space="preserve">various </w:t>
      </w:r>
      <w:r w:rsidR="00543A60" w:rsidRPr="00DF15FE">
        <w:rPr>
          <w:color w:val="000000"/>
          <w:szCs w:val="22"/>
        </w:rPr>
        <w:t>press clippings</w:t>
      </w:r>
      <w:r w:rsidR="00F535CF" w:rsidRPr="00DF15FE">
        <w:rPr>
          <w:color w:val="000000"/>
          <w:szCs w:val="22"/>
        </w:rPr>
        <w:t xml:space="preserve"> dated 2017-2023, showing </w:t>
      </w:r>
      <w:proofErr w:type="gramStart"/>
      <w:r w:rsidR="00F535CF" w:rsidRPr="00DF15FE">
        <w:rPr>
          <w:color w:val="000000"/>
          <w:szCs w:val="22"/>
        </w:rPr>
        <w:t>Spa</w:t>
      </w:r>
      <w:r w:rsidR="00D840C7" w:rsidRPr="00DF15FE">
        <w:rPr>
          <w:color w:val="000000"/>
          <w:szCs w:val="22"/>
        </w:rPr>
        <w:t>in‘</w:t>
      </w:r>
      <w:proofErr w:type="gramEnd"/>
      <w:r w:rsidR="00D840C7" w:rsidRPr="00DF15FE">
        <w:rPr>
          <w:color w:val="000000"/>
          <w:szCs w:val="22"/>
        </w:rPr>
        <w:t xml:space="preserve">s queen </w:t>
      </w:r>
      <w:r w:rsidR="00177A34" w:rsidRPr="00DF15FE">
        <w:rPr>
          <w:color w:val="000000"/>
          <w:szCs w:val="22"/>
        </w:rPr>
        <w:t xml:space="preserve">(according to </w:t>
      </w:r>
      <w:r w:rsidR="00177A34" w:rsidRPr="00DF15FE">
        <w:rPr>
          <w:i/>
          <w:iCs/>
          <w:color w:val="000000"/>
          <w:szCs w:val="22"/>
        </w:rPr>
        <w:t>Forbes</w:t>
      </w:r>
      <w:r w:rsidR="00177A34" w:rsidRPr="00DF15FE">
        <w:rPr>
          <w:color w:val="000000"/>
          <w:szCs w:val="22"/>
        </w:rPr>
        <w:t xml:space="preserve"> amongst the most influential women in Spain) </w:t>
      </w:r>
      <w:r w:rsidR="00797FE3" w:rsidRPr="00DF15FE">
        <w:rPr>
          <w:color w:val="000000"/>
          <w:szCs w:val="22"/>
        </w:rPr>
        <w:t>wearing</w:t>
      </w:r>
      <w:r w:rsidR="00DE47C3" w:rsidRPr="00DF15FE">
        <w:rPr>
          <w:color w:val="000000"/>
          <w:szCs w:val="22"/>
        </w:rPr>
        <w:t xml:space="preserve"> CH and CH Carolina Herrera clothing </w:t>
      </w:r>
      <w:r w:rsidR="00797FE3" w:rsidRPr="00DF15FE">
        <w:rPr>
          <w:color w:val="000000"/>
          <w:szCs w:val="22"/>
        </w:rPr>
        <w:t>and accessories</w:t>
      </w:r>
      <w:r w:rsidR="00177A34" w:rsidRPr="00DF15FE">
        <w:rPr>
          <w:color w:val="000000"/>
          <w:szCs w:val="22"/>
        </w:rPr>
        <w:t xml:space="preserve"> on numerous occasions</w:t>
      </w:r>
      <w:r w:rsidRPr="00DF15FE">
        <w:rPr>
          <w:color w:val="000000"/>
          <w:szCs w:val="22"/>
        </w:rPr>
        <w:t xml:space="preserve">.  </w:t>
      </w:r>
    </w:p>
    <w:p w14:paraId="69CD8DCF" w14:textId="77777777" w:rsidR="00BD560F" w:rsidRPr="00DF15FE" w:rsidRDefault="00BD560F" w:rsidP="00BD560F">
      <w:pPr>
        <w:jc w:val="both"/>
        <w:rPr>
          <w:color w:val="000000"/>
          <w:szCs w:val="22"/>
        </w:rPr>
      </w:pPr>
    </w:p>
    <w:p w14:paraId="0DC63AF5" w14:textId="109A2F00" w:rsidR="00BD560F" w:rsidRPr="00DF15FE" w:rsidRDefault="00BD560F" w:rsidP="00BD560F">
      <w:pPr>
        <w:jc w:val="both"/>
        <w:rPr>
          <w:szCs w:val="22"/>
        </w:rPr>
      </w:pPr>
      <w:r w:rsidRPr="00DF15FE">
        <w:rPr>
          <w:szCs w:val="22"/>
        </w:rPr>
        <w:t xml:space="preserve">The abovementioned evidence </w:t>
      </w:r>
      <w:r w:rsidR="00177A34" w:rsidRPr="00DF15FE">
        <w:rPr>
          <w:szCs w:val="22"/>
        </w:rPr>
        <w:t xml:space="preserve">clearly </w:t>
      </w:r>
      <w:r w:rsidRPr="00DF15FE">
        <w:rPr>
          <w:szCs w:val="22"/>
        </w:rPr>
        <w:t xml:space="preserve">indicates that the earlier </w:t>
      </w:r>
      <w:proofErr w:type="spellStart"/>
      <w:proofErr w:type="gramStart"/>
      <w:r w:rsidRPr="00DF15FE">
        <w:rPr>
          <w:szCs w:val="22"/>
        </w:rPr>
        <w:t>trade marks</w:t>
      </w:r>
      <w:proofErr w:type="spellEnd"/>
      <w:proofErr w:type="gramEnd"/>
      <w:r w:rsidR="00E63374" w:rsidRPr="00DF15FE">
        <w:rPr>
          <w:szCs w:val="22"/>
        </w:rPr>
        <w:t xml:space="preserve"> </w:t>
      </w:r>
      <w:r w:rsidRPr="00DF15FE">
        <w:rPr>
          <w:szCs w:val="22"/>
        </w:rPr>
        <w:t xml:space="preserve">have been used for a substantial period of time. The sales figures and market studies suggest that the </w:t>
      </w:r>
      <w:proofErr w:type="spellStart"/>
      <w:proofErr w:type="gramStart"/>
      <w:r w:rsidRPr="00DF15FE">
        <w:rPr>
          <w:szCs w:val="22"/>
        </w:rPr>
        <w:t>trade marks</w:t>
      </w:r>
      <w:proofErr w:type="spellEnd"/>
      <w:proofErr w:type="gramEnd"/>
      <w:r w:rsidRPr="00DF15FE">
        <w:rPr>
          <w:szCs w:val="22"/>
        </w:rPr>
        <w:t xml:space="preserve"> have a consolidated position in the market. Under these circumstances, the Opposition Division finds that, taken as a whole, the evidence indicates that the earlier </w:t>
      </w:r>
      <w:proofErr w:type="spellStart"/>
      <w:proofErr w:type="gramStart"/>
      <w:r w:rsidRPr="00DF15FE">
        <w:rPr>
          <w:szCs w:val="22"/>
        </w:rPr>
        <w:t>trade marks</w:t>
      </w:r>
      <w:proofErr w:type="spellEnd"/>
      <w:proofErr w:type="gramEnd"/>
      <w:r w:rsidRPr="00DF15FE">
        <w:rPr>
          <w:szCs w:val="22"/>
        </w:rPr>
        <w:t xml:space="preserve"> enjoy </w:t>
      </w:r>
      <w:r w:rsidR="00CB79E9" w:rsidRPr="00DF15FE">
        <w:rPr>
          <w:szCs w:val="22"/>
        </w:rPr>
        <w:t>a clear</w:t>
      </w:r>
      <w:r w:rsidRPr="00DF15FE">
        <w:rPr>
          <w:szCs w:val="22"/>
        </w:rPr>
        <w:t xml:space="preserve"> recognition in particular amongst the Spanish public, which leads to the conclusion that the earlier </w:t>
      </w:r>
      <w:proofErr w:type="spellStart"/>
      <w:r w:rsidRPr="00DF15FE">
        <w:rPr>
          <w:szCs w:val="22"/>
        </w:rPr>
        <w:t>trade mark</w:t>
      </w:r>
      <w:r w:rsidR="002A6E41" w:rsidRPr="00DF15FE">
        <w:rPr>
          <w:szCs w:val="22"/>
        </w:rPr>
        <w:t>s</w:t>
      </w:r>
      <w:proofErr w:type="spellEnd"/>
      <w:r w:rsidRPr="00DF15FE">
        <w:rPr>
          <w:szCs w:val="22"/>
        </w:rPr>
        <w:t xml:space="preserve"> enjoy </w:t>
      </w:r>
      <w:r w:rsidR="00C901C6" w:rsidRPr="00DF15FE">
        <w:rPr>
          <w:szCs w:val="22"/>
        </w:rPr>
        <w:t xml:space="preserve">a </w:t>
      </w:r>
      <w:r w:rsidR="00CB79E9" w:rsidRPr="00DF15FE">
        <w:rPr>
          <w:szCs w:val="22"/>
        </w:rPr>
        <w:t xml:space="preserve">significant </w:t>
      </w:r>
      <w:r w:rsidRPr="00DF15FE">
        <w:rPr>
          <w:szCs w:val="22"/>
        </w:rPr>
        <w:t xml:space="preserve">reputation for at least perfumery and clothing. </w:t>
      </w:r>
    </w:p>
    <w:p w14:paraId="5289C9F7" w14:textId="77777777" w:rsidR="00EE6966" w:rsidRPr="00DF15FE" w:rsidRDefault="00EE6966" w:rsidP="00BD560F">
      <w:pPr>
        <w:jc w:val="both"/>
        <w:rPr>
          <w:szCs w:val="22"/>
        </w:rPr>
      </w:pPr>
    </w:p>
    <w:p w14:paraId="0B3D3EF7" w14:textId="2A64B642" w:rsidR="00EE6966" w:rsidRPr="00DF15FE" w:rsidRDefault="00EE6966" w:rsidP="00BD560F">
      <w:pPr>
        <w:jc w:val="both"/>
        <w:rPr>
          <w:szCs w:val="22"/>
        </w:rPr>
      </w:pPr>
      <w:r w:rsidRPr="00DF15FE">
        <w:rPr>
          <w:szCs w:val="22"/>
        </w:rPr>
        <w:t xml:space="preserve">However, the evidence does not succeed in establishing that the </w:t>
      </w:r>
      <w:proofErr w:type="gramStart"/>
      <w:r w:rsidRPr="00DF15FE">
        <w:rPr>
          <w:szCs w:val="22"/>
        </w:rPr>
        <w:t>trade mark</w:t>
      </w:r>
      <w:proofErr w:type="gramEnd"/>
      <w:r w:rsidRPr="00DF15FE">
        <w:rPr>
          <w:szCs w:val="22"/>
        </w:rPr>
        <w:t xml:space="preserve"> has a reputation for retail services on which the opposition is based and for which reputation has been claimed. The evidence mainly relates to </w:t>
      </w:r>
      <w:r w:rsidRPr="00DF15FE">
        <w:rPr>
          <w:i/>
          <w:iCs/>
          <w:szCs w:val="22"/>
        </w:rPr>
        <w:t>perfumery</w:t>
      </w:r>
      <w:r w:rsidRPr="00DF15FE">
        <w:rPr>
          <w:szCs w:val="22"/>
        </w:rPr>
        <w:t xml:space="preserve"> and </w:t>
      </w:r>
      <w:r w:rsidRPr="00DF15FE">
        <w:rPr>
          <w:i/>
          <w:iCs/>
          <w:szCs w:val="22"/>
        </w:rPr>
        <w:t>clothing</w:t>
      </w:r>
      <w:r w:rsidRPr="00DF15FE">
        <w:rPr>
          <w:szCs w:val="22"/>
        </w:rPr>
        <w:t xml:space="preserve">, whereas there is little or no reference to the remaining </w:t>
      </w:r>
      <w:r w:rsidR="009706F2" w:rsidRPr="00DF15FE">
        <w:rPr>
          <w:szCs w:val="22"/>
        </w:rPr>
        <w:t>services</w:t>
      </w:r>
      <w:r w:rsidRPr="00DF15FE">
        <w:rPr>
          <w:szCs w:val="22"/>
        </w:rPr>
        <w:t xml:space="preserve">. This is clear, for example, from the press cuttings and advertisements, in which only the former are mentioned. </w:t>
      </w:r>
    </w:p>
    <w:p w14:paraId="08D08D0B" w14:textId="77777777" w:rsidR="00BD560F" w:rsidRPr="00DF15FE" w:rsidRDefault="00BD560F" w:rsidP="00BD560F">
      <w:pPr>
        <w:pStyle w:val="Default"/>
        <w:jc w:val="both"/>
        <w:rPr>
          <w:sz w:val="22"/>
          <w:szCs w:val="22"/>
          <w:lang w:val="en-GB"/>
        </w:rPr>
      </w:pPr>
    </w:p>
    <w:p w14:paraId="149AB32E" w14:textId="77777777" w:rsidR="00C44700" w:rsidRPr="00DF15FE" w:rsidRDefault="00BD560F" w:rsidP="00BD560F">
      <w:pPr>
        <w:autoSpaceDE w:val="0"/>
        <w:autoSpaceDN w:val="0"/>
        <w:adjustRightInd w:val="0"/>
        <w:jc w:val="both"/>
        <w:rPr>
          <w:color w:val="000000"/>
          <w:szCs w:val="22"/>
        </w:rPr>
      </w:pPr>
      <w:r w:rsidRPr="00DF15FE">
        <w:rPr>
          <w:szCs w:val="22"/>
        </w:rPr>
        <w:t>Consequently, the opponent has proved the reputation of the earlier mark for,</w:t>
      </w:r>
      <w:r w:rsidR="00C44700" w:rsidRPr="00DF15FE">
        <w:rPr>
          <w:szCs w:val="22"/>
        </w:rPr>
        <w:t xml:space="preserve"> at least, </w:t>
      </w:r>
      <w:r w:rsidRPr="00DF15FE">
        <w:rPr>
          <w:i/>
          <w:iCs/>
          <w:szCs w:val="22"/>
        </w:rPr>
        <w:t xml:space="preserve">perfumery products </w:t>
      </w:r>
      <w:r w:rsidRPr="00DF15FE">
        <w:rPr>
          <w:szCs w:val="22"/>
        </w:rPr>
        <w:t xml:space="preserve">in Class 3 </w:t>
      </w:r>
      <w:r w:rsidRPr="00DF15FE">
        <w:rPr>
          <w:color w:val="000000"/>
          <w:szCs w:val="22"/>
        </w:rPr>
        <w:t xml:space="preserve">and </w:t>
      </w:r>
      <w:r w:rsidRPr="00DF15FE">
        <w:rPr>
          <w:i/>
          <w:iCs/>
          <w:color w:val="000000"/>
          <w:szCs w:val="22"/>
        </w:rPr>
        <w:t xml:space="preserve">clothing and ready-made clothing </w:t>
      </w:r>
      <w:r w:rsidRPr="00DF15FE">
        <w:rPr>
          <w:color w:val="000000"/>
          <w:szCs w:val="22"/>
        </w:rPr>
        <w:t xml:space="preserve">in Class 25. </w:t>
      </w:r>
    </w:p>
    <w:p w14:paraId="49854FF0" w14:textId="77777777" w:rsidR="00C44700" w:rsidRPr="00DF15FE" w:rsidRDefault="00C44700" w:rsidP="00BD560F">
      <w:pPr>
        <w:autoSpaceDE w:val="0"/>
        <w:autoSpaceDN w:val="0"/>
        <w:adjustRightInd w:val="0"/>
        <w:jc w:val="both"/>
        <w:rPr>
          <w:color w:val="000000"/>
          <w:szCs w:val="22"/>
        </w:rPr>
      </w:pPr>
    </w:p>
    <w:p w14:paraId="43BF8FC6" w14:textId="1FF3AFB9" w:rsidR="00BD560F" w:rsidRPr="00DF15FE" w:rsidRDefault="00C44700" w:rsidP="00BD560F">
      <w:pPr>
        <w:autoSpaceDE w:val="0"/>
        <w:autoSpaceDN w:val="0"/>
        <w:adjustRightInd w:val="0"/>
        <w:jc w:val="both"/>
        <w:rPr>
          <w:color w:val="000000"/>
          <w:szCs w:val="22"/>
        </w:rPr>
      </w:pPr>
      <w:r w:rsidRPr="00DF15FE">
        <w:rPr>
          <w:color w:val="000000"/>
          <w:szCs w:val="22"/>
        </w:rPr>
        <w:t xml:space="preserve">For reasons of procedural economy, the assessment will therefore proceed hereinunder </w:t>
      </w:r>
      <w:r w:rsidR="00800D25" w:rsidRPr="00DF15FE">
        <w:rPr>
          <w:color w:val="000000"/>
          <w:szCs w:val="22"/>
        </w:rPr>
        <w:t xml:space="preserve">firstly </w:t>
      </w:r>
      <w:r w:rsidRPr="00DF15FE">
        <w:rPr>
          <w:color w:val="000000"/>
          <w:szCs w:val="22"/>
        </w:rPr>
        <w:t xml:space="preserve">in relation to the earlier word mark. </w:t>
      </w:r>
    </w:p>
    <w:p w14:paraId="6ACF0577" w14:textId="77777777" w:rsidR="00BD560F" w:rsidRPr="00DF15FE" w:rsidRDefault="00BD560F">
      <w:pPr>
        <w:jc w:val="both"/>
        <w:rPr>
          <w:color w:val="000000"/>
        </w:rPr>
      </w:pPr>
    </w:p>
    <w:p w14:paraId="3BCC5E1D" w14:textId="77777777" w:rsidR="00314A45" w:rsidRPr="00DF15FE" w:rsidRDefault="00314A45">
      <w:pPr>
        <w:jc w:val="both"/>
        <w:rPr>
          <w:color w:val="000000"/>
        </w:rPr>
      </w:pPr>
    </w:p>
    <w:p w14:paraId="6E10EA3B" w14:textId="77777777" w:rsidR="00314A45" w:rsidRPr="00DF15FE" w:rsidRDefault="00314A45">
      <w:pPr>
        <w:jc w:val="both"/>
        <w:rPr>
          <w:color w:val="000000"/>
        </w:rPr>
      </w:pPr>
    </w:p>
    <w:p w14:paraId="2AE3382D" w14:textId="77777777" w:rsidR="00314A45" w:rsidRPr="00DF15FE" w:rsidRDefault="00314A45">
      <w:pPr>
        <w:jc w:val="both"/>
        <w:rPr>
          <w:color w:val="000000"/>
        </w:rPr>
      </w:pPr>
    </w:p>
    <w:p w14:paraId="54F2BA72" w14:textId="77777777" w:rsidR="00314A45" w:rsidRPr="00DF15FE" w:rsidRDefault="00314A45">
      <w:pPr>
        <w:jc w:val="both"/>
        <w:rPr>
          <w:color w:val="000000"/>
        </w:rPr>
      </w:pPr>
    </w:p>
    <w:p w14:paraId="1C7FC86A" w14:textId="77777777" w:rsidR="00314A45" w:rsidRPr="00DF15FE" w:rsidRDefault="00314A45">
      <w:pPr>
        <w:jc w:val="both"/>
        <w:rPr>
          <w:color w:val="000000"/>
        </w:rPr>
      </w:pPr>
    </w:p>
    <w:p w14:paraId="2195D894" w14:textId="77777777" w:rsidR="00314A45" w:rsidRPr="00DF15FE" w:rsidRDefault="00314A45">
      <w:pPr>
        <w:jc w:val="both"/>
        <w:rPr>
          <w:color w:val="000000"/>
        </w:rPr>
      </w:pPr>
    </w:p>
    <w:p w14:paraId="62D6F0A6" w14:textId="77777777" w:rsidR="00314A45" w:rsidRPr="00DF15FE" w:rsidRDefault="00314A45">
      <w:pPr>
        <w:jc w:val="both"/>
        <w:rPr>
          <w:color w:val="000000"/>
        </w:rPr>
      </w:pPr>
    </w:p>
    <w:p w14:paraId="70BEEC3D" w14:textId="77777777" w:rsidR="00314A45" w:rsidRPr="00DF15FE" w:rsidRDefault="00314A45">
      <w:pPr>
        <w:jc w:val="both"/>
        <w:rPr>
          <w:color w:val="000000"/>
        </w:rPr>
      </w:pPr>
    </w:p>
    <w:p w14:paraId="49A6E146" w14:textId="77777777" w:rsidR="00314A45" w:rsidRPr="00DF15FE" w:rsidRDefault="00314A45">
      <w:pPr>
        <w:jc w:val="both"/>
        <w:rPr>
          <w:color w:val="000000"/>
        </w:rPr>
      </w:pPr>
    </w:p>
    <w:p w14:paraId="0ADC24F8" w14:textId="77777777" w:rsidR="00B85C44" w:rsidRPr="00DF15FE" w:rsidRDefault="00B85C44">
      <w:pPr>
        <w:jc w:val="both"/>
      </w:pPr>
    </w:p>
    <w:p w14:paraId="2E9E28B7" w14:textId="77777777" w:rsidR="00CF0403" w:rsidRPr="00DF15FE" w:rsidRDefault="00846F82">
      <w:pPr>
        <w:jc w:val="both"/>
      </w:pPr>
      <w:bookmarkStart w:id="10" w:name="chk-paragraph-10-3-3_nodeId-1498025451"/>
      <w:bookmarkEnd w:id="7"/>
      <w:r w:rsidRPr="00DF15FE">
        <w:rPr>
          <w:b/>
          <w:color w:val="000000"/>
        </w:rPr>
        <w:t>b) The signs</w:t>
      </w:r>
    </w:p>
    <w:p w14:paraId="048CD059" w14:textId="521D13C9" w:rsidR="00CF0403" w:rsidRPr="00DF15FE" w:rsidRDefault="00846F82">
      <w:pPr>
        <w:jc w:val="both"/>
      </w:pPr>
      <w:r w:rsidRPr="00DF15FE">
        <w:rPr>
          <w:color w:val="000000"/>
        </w:rPr>
        <w:t> </w:t>
      </w:r>
    </w:p>
    <w:tbl>
      <w:tblPr>
        <w:tblW w:w="0" w:type="auto"/>
        <w:tblCellSpacing w:w="20" w:type="dxa"/>
        <w:tblInd w:w="154" w:type="dxa"/>
        <w:tblLook w:val="04A0" w:firstRow="1" w:lastRow="0" w:firstColumn="1" w:lastColumn="0" w:noHBand="0" w:noVBand="1"/>
      </w:tblPr>
      <w:tblGrid>
        <w:gridCol w:w="4700"/>
        <w:gridCol w:w="4173"/>
      </w:tblGrid>
      <w:tr w:rsidR="00CF0403" w:rsidRPr="00DF15FE" w14:paraId="3AA1EEC5" w14:textId="77777777">
        <w:trPr>
          <w:trHeight w:val="30"/>
          <w:tblCellSpacing w:w="20" w:type="dxa"/>
        </w:trPr>
        <w:tc>
          <w:tcPr>
            <w:tcW w:w="6801" w:type="dxa"/>
            <w:tcBorders>
              <w:right w:val="dotted" w:sz="8" w:space="0" w:color="000000"/>
            </w:tcBorders>
            <w:tcMar>
              <w:top w:w="15" w:type="dxa"/>
              <w:left w:w="15" w:type="dxa"/>
              <w:bottom w:w="15" w:type="dxa"/>
              <w:right w:w="15" w:type="dxa"/>
            </w:tcMar>
            <w:vAlign w:val="center"/>
          </w:tcPr>
          <w:p w14:paraId="29218DF9" w14:textId="77777777" w:rsidR="00CF0403" w:rsidRPr="00DF15FE" w:rsidRDefault="00846F82">
            <w:pPr>
              <w:ind w:left="130"/>
              <w:jc w:val="center"/>
            </w:pPr>
            <w:bookmarkStart w:id="11" w:name="chk-paragraph-10-3-3-2_nodeId-602728432"/>
            <w:bookmarkEnd w:id="10"/>
            <w:r w:rsidRPr="00DF15FE">
              <w:br/>
            </w:r>
          </w:p>
          <w:p w14:paraId="72D2379E" w14:textId="77777777" w:rsidR="00C44700" w:rsidRPr="00DF15FE" w:rsidRDefault="00C44700">
            <w:pPr>
              <w:ind w:left="130"/>
              <w:jc w:val="center"/>
              <w:rPr>
                <w:color w:val="000000"/>
              </w:rPr>
            </w:pPr>
          </w:p>
          <w:p w14:paraId="4AC75963" w14:textId="77777777" w:rsidR="00C44700" w:rsidRPr="00DF15FE" w:rsidRDefault="00C44700">
            <w:pPr>
              <w:ind w:left="130"/>
              <w:jc w:val="center"/>
              <w:rPr>
                <w:color w:val="000000"/>
              </w:rPr>
            </w:pPr>
          </w:p>
          <w:p w14:paraId="59125428" w14:textId="77777777" w:rsidR="00C44700" w:rsidRPr="00DF15FE" w:rsidRDefault="00C44700">
            <w:pPr>
              <w:ind w:left="130"/>
              <w:jc w:val="center"/>
              <w:rPr>
                <w:color w:val="000000"/>
              </w:rPr>
            </w:pPr>
          </w:p>
          <w:p w14:paraId="0750404F" w14:textId="5CBCFBBC" w:rsidR="00CF0403" w:rsidRPr="00DF15FE" w:rsidRDefault="00846F82">
            <w:pPr>
              <w:ind w:left="130"/>
              <w:jc w:val="center"/>
              <w:rPr>
                <w:color w:val="000000"/>
              </w:rPr>
            </w:pPr>
            <w:r w:rsidRPr="00DF15FE">
              <w:rPr>
                <w:color w:val="000000"/>
              </w:rPr>
              <w:t>CH</w:t>
            </w:r>
          </w:p>
          <w:p w14:paraId="25E42FAA" w14:textId="77777777" w:rsidR="004E31D3" w:rsidRPr="00DF15FE" w:rsidRDefault="004E31D3">
            <w:pPr>
              <w:ind w:left="130"/>
              <w:jc w:val="center"/>
              <w:rPr>
                <w:color w:val="000000"/>
              </w:rPr>
            </w:pPr>
          </w:p>
          <w:p w14:paraId="27C2BB4B" w14:textId="77777777" w:rsidR="009B4F41" w:rsidRPr="00DF15FE" w:rsidRDefault="009B4F41">
            <w:pPr>
              <w:ind w:left="130"/>
              <w:jc w:val="center"/>
              <w:rPr>
                <w:color w:val="000000"/>
              </w:rPr>
            </w:pPr>
          </w:p>
          <w:p w14:paraId="6EFBDBBC" w14:textId="77777777" w:rsidR="004E31D3" w:rsidRPr="00DF15FE" w:rsidRDefault="004E31D3">
            <w:pPr>
              <w:ind w:left="130"/>
              <w:jc w:val="center"/>
            </w:pPr>
          </w:p>
          <w:p w14:paraId="2694538E" w14:textId="174E4CAB" w:rsidR="00CF0403" w:rsidRPr="00DF15FE" w:rsidRDefault="00CF0403">
            <w:pPr>
              <w:ind w:left="130"/>
              <w:jc w:val="center"/>
              <w:rPr>
                <w:shadow/>
              </w:rPr>
            </w:pPr>
          </w:p>
        </w:tc>
        <w:tc>
          <w:tcPr>
            <w:tcW w:w="5449" w:type="dxa"/>
            <w:tcMar>
              <w:top w:w="15" w:type="dxa"/>
              <w:left w:w="15" w:type="dxa"/>
              <w:bottom w:w="15" w:type="dxa"/>
              <w:right w:w="15" w:type="dxa"/>
            </w:tcMar>
            <w:vAlign w:val="center"/>
          </w:tcPr>
          <w:p w14:paraId="235623A3" w14:textId="77777777" w:rsidR="00CF0403" w:rsidRPr="00DF15FE" w:rsidRDefault="00846F82">
            <w:pPr>
              <w:ind w:left="130"/>
              <w:jc w:val="center"/>
              <w:rPr>
                <w:shadow/>
              </w:rPr>
            </w:pPr>
            <w:r w:rsidRPr="00DF15FE">
              <w:rPr>
                <w:noProof/>
              </w:rPr>
              <w:drawing>
                <wp:inline distT="0" distB="0" distL="0" distR="0" wp14:anchorId="624D3A86" wp14:editId="66B9940B">
                  <wp:extent cx="1005062" cy="12776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2413" cy="1286964"/>
                          </a:xfrm>
                          <a:prstGeom prst="rect">
                            <a:avLst/>
                          </a:prstGeom>
                        </pic:spPr>
                      </pic:pic>
                    </a:graphicData>
                  </a:graphic>
                </wp:inline>
              </w:drawing>
            </w:r>
          </w:p>
        </w:tc>
      </w:tr>
      <w:tr w:rsidR="00CF0403" w:rsidRPr="00DF15FE" w14:paraId="143388F2" w14:textId="77777777">
        <w:trPr>
          <w:trHeight w:val="45"/>
          <w:tblCellSpacing w:w="20" w:type="dxa"/>
        </w:trPr>
        <w:tc>
          <w:tcPr>
            <w:tcW w:w="6801" w:type="dxa"/>
            <w:tcBorders>
              <w:top w:val="dotted" w:sz="8" w:space="0" w:color="000000"/>
              <w:right w:val="dotted" w:sz="8" w:space="0" w:color="000000"/>
            </w:tcBorders>
            <w:tcMar>
              <w:top w:w="15" w:type="dxa"/>
              <w:left w:w="15" w:type="dxa"/>
              <w:bottom w:w="15" w:type="dxa"/>
              <w:right w:w="15" w:type="dxa"/>
            </w:tcMar>
            <w:vAlign w:val="center"/>
          </w:tcPr>
          <w:p w14:paraId="7151CB23" w14:textId="794C3762" w:rsidR="00CF0403" w:rsidRPr="00DF15FE" w:rsidRDefault="00846F82">
            <w:pPr>
              <w:ind w:left="130"/>
              <w:jc w:val="both"/>
            </w:pPr>
            <w:r w:rsidRPr="00DF15FE">
              <w:rPr>
                <w:color w:val="000000"/>
              </w:rPr>
              <w:t> </w:t>
            </w:r>
          </w:p>
          <w:p w14:paraId="69EAFA2B" w14:textId="7CF45FE8" w:rsidR="00CF0403" w:rsidRPr="00DF15FE" w:rsidRDefault="00846F82">
            <w:pPr>
              <w:ind w:left="130"/>
              <w:jc w:val="center"/>
            </w:pPr>
            <w:r w:rsidRPr="00DF15FE">
              <w:rPr>
                <w:color w:val="000000"/>
              </w:rPr>
              <w:t xml:space="preserve">Earlier </w:t>
            </w:r>
            <w:proofErr w:type="gramStart"/>
            <w:r w:rsidRPr="00DF15FE">
              <w:rPr>
                <w:color w:val="000000"/>
              </w:rPr>
              <w:t>trade mark</w:t>
            </w:r>
            <w:proofErr w:type="gramEnd"/>
          </w:p>
        </w:tc>
        <w:tc>
          <w:tcPr>
            <w:tcW w:w="5449" w:type="dxa"/>
            <w:tcBorders>
              <w:top w:val="dotted" w:sz="8" w:space="0" w:color="000000"/>
            </w:tcBorders>
            <w:tcMar>
              <w:top w:w="15" w:type="dxa"/>
              <w:left w:w="15" w:type="dxa"/>
              <w:bottom w:w="15" w:type="dxa"/>
              <w:right w:w="15" w:type="dxa"/>
            </w:tcMar>
            <w:vAlign w:val="center"/>
          </w:tcPr>
          <w:p w14:paraId="768C3895" w14:textId="1708DC3A" w:rsidR="00CF0403" w:rsidRPr="00DF15FE" w:rsidRDefault="00846F82">
            <w:pPr>
              <w:ind w:left="130"/>
              <w:jc w:val="both"/>
            </w:pPr>
            <w:r w:rsidRPr="00DF15FE">
              <w:rPr>
                <w:color w:val="000000"/>
              </w:rPr>
              <w:t> </w:t>
            </w:r>
          </w:p>
          <w:p w14:paraId="7C639AB8" w14:textId="77777777" w:rsidR="00CF0403" w:rsidRPr="00DF15FE" w:rsidRDefault="00846F82">
            <w:pPr>
              <w:ind w:left="130"/>
              <w:jc w:val="center"/>
            </w:pPr>
            <w:r w:rsidRPr="00DF15FE">
              <w:rPr>
                <w:color w:val="000000"/>
              </w:rPr>
              <w:t>Contested sign</w:t>
            </w:r>
          </w:p>
        </w:tc>
      </w:tr>
    </w:tbl>
    <w:p w14:paraId="18196862" w14:textId="6780EA18" w:rsidR="00CF0403" w:rsidRPr="00DF15FE" w:rsidRDefault="00846F82">
      <w:pPr>
        <w:jc w:val="both"/>
      </w:pPr>
      <w:r w:rsidRPr="00DF15FE">
        <w:rPr>
          <w:color w:val="000000"/>
        </w:rPr>
        <w:t> </w:t>
      </w:r>
    </w:p>
    <w:p w14:paraId="58CAF04E" w14:textId="77777777" w:rsidR="004B580B" w:rsidRPr="00DF15FE" w:rsidRDefault="004B580B" w:rsidP="004B580B">
      <w:pPr>
        <w:jc w:val="both"/>
      </w:pPr>
      <w:bookmarkStart w:id="12" w:name="chk-paragraph-10-3-3-2-2_nodeId--1857006"/>
      <w:bookmarkEnd w:id="11"/>
      <w:r w:rsidRPr="00DF15FE">
        <w:rPr>
          <w:color w:val="000000"/>
        </w:rPr>
        <w:t>The relevant territory is the European Union.</w:t>
      </w:r>
    </w:p>
    <w:p w14:paraId="7C71D00D" w14:textId="688B5D69" w:rsidR="004B580B" w:rsidRPr="00DF15FE" w:rsidRDefault="004B580B" w:rsidP="004B580B">
      <w:pPr>
        <w:jc w:val="both"/>
      </w:pPr>
      <w:r w:rsidRPr="00DF15FE">
        <w:rPr>
          <w:color w:val="000000"/>
        </w:rPr>
        <w:t> </w:t>
      </w:r>
    </w:p>
    <w:p w14:paraId="35477C42" w14:textId="2ACC6CE7" w:rsidR="004B580B" w:rsidRPr="00DF15FE" w:rsidRDefault="004B580B" w:rsidP="004B580B">
      <w:pPr>
        <w:jc w:val="both"/>
      </w:pPr>
      <w:r w:rsidRPr="00DF15FE">
        <w:rPr>
          <w:color w:val="000000"/>
        </w:rPr>
        <w:t>The global appreciation of the visual, aural or conceptual similarity of the marks in question must be based on the overall impression given by the marks, bearing in mind</w:t>
      </w:r>
      <w:proofErr w:type="gramStart"/>
      <w:r w:rsidRPr="00DF15FE">
        <w:rPr>
          <w:color w:val="000000"/>
        </w:rPr>
        <w:t>, in particular, their</w:t>
      </w:r>
      <w:proofErr w:type="gramEnd"/>
      <w:r w:rsidRPr="00DF15FE">
        <w:rPr>
          <w:color w:val="000000"/>
        </w:rPr>
        <w:t xml:space="preserve"> distinctive and dominant components (11/11/1997, C-251/95, </w:t>
      </w:r>
      <w:proofErr w:type="spellStart"/>
      <w:r w:rsidRPr="00DF15FE">
        <w:rPr>
          <w:color w:val="000000"/>
        </w:rPr>
        <w:t>Sabèl</w:t>
      </w:r>
      <w:proofErr w:type="spellEnd"/>
      <w:r w:rsidRPr="00DF15FE">
        <w:rPr>
          <w:color w:val="000000"/>
        </w:rPr>
        <w:t>, EU:C:1997:528, § 23).</w:t>
      </w:r>
    </w:p>
    <w:p w14:paraId="1276BB6F" w14:textId="52C47D52" w:rsidR="004B580B" w:rsidRPr="00DF15FE" w:rsidRDefault="004B580B" w:rsidP="004B580B">
      <w:pPr>
        <w:jc w:val="both"/>
      </w:pPr>
      <w:r w:rsidRPr="00DF15FE">
        <w:rPr>
          <w:color w:val="000000"/>
        </w:rPr>
        <w:t> </w:t>
      </w:r>
      <w:bookmarkStart w:id="13" w:name="chk-paragraph-9-3-3-2-1_nodeId-157765701"/>
      <w:r w:rsidRPr="00DF15FE">
        <w:rPr>
          <w:color w:val="000000"/>
        </w:rPr>
        <w:t> </w:t>
      </w:r>
    </w:p>
    <w:p w14:paraId="7001416D" w14:textId="2F335BD9" w:rsidR="004B580B" w:rsidRPr="00DF15FE" w:rsidRDefault="004B580B" w:rsidP="004B580B">
      <w:pPr>
        <w:jc w:val="both"/>
        <w:rPr>
          <w:szCs w:val="22"/>
        </w:rPr>
      </w:pPr>
      <w:bookmarkStart w:id="14" w:name="chk-paragraph-9-3-3-2-2-3_nodeId--609071"/>
      <w:r w:rsidRPr="00DF15FE">
        <w:rPr>
          <w:szCs w:val="22"/>
        </w:rPr>
        <w:t xml:space="preserve">The earlier </w:t>
      </w:r>
      <w:r w:rsidR="00F5369D" w:rsidRPr="00DF15FE">
        <w:rPr>
          <w:szCs w:val="22"/>
        </w:rPr>
        <w:t xml:space="preserve">word </w:t>
      </w:r>
      <w:r w:rsidRPr="00DF15FE">
        <w:rPr>
          <w:szCs w:val="22"/>
        </w:rPr>
        <w:t>mark is a word mark composed of two letters, ‘C’ and ‘H’.</w:t>
      </w:r>
      <w:r w:rsidR="00F5369D" w:rsidRPr="00DF15FE">
        <w:rPr>
          <w:szCs w:val="22"/>
        </w:rPr>
        <w:t xml:space="preserve"> </w:t>
      </w:r>
    </w:p>
    <w:p w14:paraId="7B37E3F6" w14:textId="77777777" w:rsidR="004B580B" w:rsidRPr="00DF15FE" w:rsidRDefault="004B580B" w:rsidP="004B580B">
      <w:pPr>
        <w:jc w:val="both"/>
        <w:rPr>
          <w:szCs w:val="22"/>
        </w:rPr>
      </w:pPr>
    </w:p>
    <w:p w14:paraId="2A314DD4" w14:textId="7E801E9D" w:rsidR="004B580B" w:rsidRPr="00DF15FE" w:rsidRDefault="004B580B" w:rsidP="004B580B">
      <w:pPr>
        <w:jc w:val="both"/>
        <w:rPr>
          <w:szCs w:val="22"/>
        </w:rPr>
      </w:pPr>
      <w:r w:rsidRPr="00DF15FE">
        <w:rPr>
          <w:szCs w:val="22"/>
        </w:rPr>
        <w:t xml:space="preserve">The contested sign is a figurative mark composed of the same letters, ‘CH’, depicted in a </w:t>
      </w:r>
      <w:r w:rsidR="00F5369D" w:rsidRPr="00DF15FE">
        <w:rPr>
          <w:szCs w:val="22"/>
        </w:rPr>
        <w:t>fanciful, gothic font</w:t>
      </w:r>
      <w:r w:rsidRPr="00DF15FE">
        <w:rPr>
          <w:szCs w:val="22"/>
        </w:rPr>
        <w:t>.</w:t>
      </w:r>
    </w:p>
    <w:p w14:paraId="4083826D" w14:textId="77777777" w:rsidR="004B580B" w:rsidRPr="00DF15FE" w:rsidRDefault="004B580B" w:rsidP="004B580B">
      <w:pPr>
        <w:jc w:val="both"/>
        <w:rPr>
          <w:color w:val="000000"/>
          <w:szCs w:val="22"/>
        </w:rPr>
      </w:pPr>
    </w:p>
    <w:p w14:paraId="102F6339" w14:textId="50BE41FA" w:rsidR="004B580B" w:rsidRPr="00DF15FE" w:rsidRDefault="004B580B" w:rsidP="004B580B">
      <w:pPr>
        <w:jc w:val="both"/>
        <w:rPr>
          <w:color w:val="000000"/>
          <w:szCs w:val="22"/>
        </w:rPr>
      </w:pPr>
      <w:r w:rsidRPr="00DF15FE">
        <w:rPr>
          <w:color w:val="000000"/>
          <w:szCs w:val="22"/>
        </w:rPr>
        <w:t xml:space="preserve">The letters ‘C’ and ‘H’, and their combination, do not have any meaning in relation to the relevant goods and </w:t>
      </w:r>
      <w:r w:rsidR="00F5369D" w:rsidRPr="00DF15FE">
        <w:rPr>
          <w:color w:val="000000"/>
          <w:szCs w:val="22"/>
        </w:rPr>
        <w:t xml:space="preserve">services </w:t>
      </w:r>
      <w:r w:rsidRPr="00DF15FE">
        <w:rPr>
          <w:color w:val="000000"/>
          <w:szCs w:val="22"/>
        </w:rPr>
        <w:t xml:space="preserve">are, therefore, normally distinctive. </w:t>
      </w:r>
    </w:p>
    <w:p w14:paraId="04FE2A19" w14:textId="77777777" w:rsidR="004B580B" w:rsidRPr="00DF15FE" w:rsidRDefault="004B580B" w:rsidP="004B580B">
      <w:pPr>
        <w:jc w:val="both"/>
        <w:rPr>
          <w:color w:val="000000"/>
          <w:szCs w:val="22"/>
        </w:rPr>
      </w:pPr>
    </w:p>
    <w:p w14:paraId="2A4F9F83" w14:textId="7D27983E" w:rsidR="004B580B" w:rsidRPr="00DF15FE" w:rsidRDefault="004B580B" w:rsidP="004B580B">
      <w:pPr>
        <w:jc w:val="both"/>
      </w:pPr>
      <w:r w:rsidRPr="00DF15FE">
        <w:rPr>
          <w:color w:val="000000"/>
          <w:szCs w:val="22"/>
        </w:rPr>
        <w:t>The stylisation of the letters in the contested sign is not overly distinctive</w:t>
      </w:r>
      <w:r w:rsidR="002D094B" w:rsidRPr="00DF15FE">
        <w:rPr>
          <w:color w:val="000000"/>
          <w:szCs w:val="22"/>
        </w:rPr>
        <w:t>; i</w:t>
      </w:r>
      <w:bookmarkStart w:id="15" w:name="chk-paragraph-9-3-3-2-2-4_nodeId-2107726"/>
      <w:bookmarkEnd w:id="14"/>
      <w:r w:rsidRPr="00DF15FE">
        <w:rPr>
          <w:color w:val="000000"/>
        </w:rPr>
        <w:t>n any event, w</w:t>
      </w:r>
      <w:r w:rsidRPr="00DF15FE">
        <w:rPr>
          <w:rStyle w:val="DecisionChar"/>
        </w:rPr>
        <w:t>hen signs consist of both verbal and figurative components, in principle, the verbal component of the sign usually has a stronger impact on the consumer than the figurative component</w:t>
      </w:r>
      <w:r w:rsidRPr="00DF15FE">
        <w:t xml:space="preserve">. </w:t>
      </w:r>
      <w:r w:rsidRPr="00DF15FE">
        <w:rPr>
          <w:rStyle w:val="DecisionChar"/>
        </w:rPr>
        <w:t>This is because the public does not tend to analyse signs and will more easily refer to the signs in question by their verbal element than by describing their figurative elements (14/07/2005, T</w:t>
      </w:r>
      <w:r w:rsidRPr="00DF15FE">
        <w:rPr>
          <w:rStyle w:val="DecisionChar"/>
        </w:rPr>
        <w:noBreakHyphen/>
        <w:t>312/03, Selenium-Ace, EU:T:2005:289, § 37)</w:t>
      </w:r>
      <w:r w:rsidRPr="00DF15FE">
        <w:t xml:space="preserve">. In the present case, the relevant public will certainly refer to the contested sign by its verbal component, ‘CH’ rather than by describing its </w:t>
      </w:r>
      <w:r w:rsidR="002D094B" w:rsidRPr="00DF15FE">
        <w:t xml:space="preserve">font. </w:t>
      </w:r>
      <w:r w:rsidRPr="00DF15FE">
        <w:t xml:space="preserve"> </w:t>
      </w:r>
    </w:p>
    <w:p w14:paraId="4BA72075" w14:textId="77777777" w:rsidR="004B580B" w:rsidRPr="00DF15FE" w:rsidRDefault="004B580B" w:rsidP="004B580B">
      <w:pPr>
        <w:jc w:val="both"/>
      </w:pPr>
    </w:p>
    <w:p w14:paraId="6595075C" w14:textId="2AA85301" w:rsidR="004B580B" w:rsidRPr="00DF15FE" w:rsidRDefault="004B580B" w:rsidP="004B580B">
      <w:pPr>
        <w:jc w:val="both"/>
        <w:rPr>
          <w:color w:val="000000"/>
          <w:szCs w:val="22"/>
        </w:rPr>
      </w:pPr>
      <w:r w:rsidRPr="00DF15FE">
        <w:rPr>
          <w:b/>
          <w:color w:val="000000"/>
          <w:szCs w:val="22"/>
        </w:rPr>
        <w:t xml:space="preserve">Visually </w:t>
      </w:r>
      <w:r w:rsidRPr="00DF15FE">
        <w:rPr>
          <w:bCs/>
          <w:color w:val="000000"/>
          <w:szCs w:val="22"/>
        </w:rPr>
        <w:t>and</w:t>
      </w:r>
      <w:r w:rsidRPr="00DF15FE">
        <w:rPr>
          <w:b/>
          <w:color w:val="000000"/>
          <w:szCs w:val="22"/>
        </w:rPr>
        <w:t xml:space="preserve"> aurally</w:t>
      </w:r>
      <w:r w:rsidRPr="00DF15FE">
        <w:rPr>
          <w:color w:val="000000"/>
          <w:szCs w:val="22"/>
        </w:rPr>
        <w:t>, and irrespective of the different pronunciation rules in different parts of the relevant territory, the signs coincide in the letters/</w:t>
      </w:r>
      <w:proofErr w:type="gramStart"/>
      <w:r w:rsidRPr="00DF15FE">
        <w:rPr>
          <w:color w:val="000000"/>
          <w:szCs w:val="22"/>
        </w:rPr>
        <w:t>sounds</w:t>
      </w:r>
      <w:proofErr w:type="gramEnd"/>
      <w:r w:rsidRPr="00DF15FE">
        <w:rPr>
          <w:color w:val="000000"/>
          <w:szCs w:val="22"/>
        </w:rPr>
        <w:t xml:space="preserve"> ‘C’ and ‘H’, which constitutes the entire earlier </w:t>
      </w:r>
      <w:r w:rsidR="002D094B" w:rsidRPr="00DF15FE">
        <w:rPr>
          <w:color w:val="000000"/>
          <w:szCs w:val="22"/>
        </w:rPr>
        <w:t xml:space="preserve">word </w:t>
      </w:r>
      <w:r w:rsidRPr="00DF15FE">
        <w:rPr>
          <w:color w:val="000000"/>
          <w:szCs w:val="22"/>
        </w:rPr>
        <w:t xml:space="preserve">mark </w:t>
      </w:r>
      <w:r w:rsidR="000377DA" w:rsidRPr="00DF15FE">
        <w:rPr>
          <w:color w:val="000000"/>
          <w:szCs w:val="22"/>
        </w:rPr>
        <w:t xml:space="preserve">and the contested sign, </w:t>
      </w:r>
      <w:r w:rsidR="000B2FF6" w:rsidRPr="00DF15FE">
        <w:rPr>
          <w:color w:val="000000"/>
          <w:szCs w:val="22"/>
        </w:rPr>
        <w:t>T</w:t>
      </w:r>
      <w:r w:rsidRPr="00DF15FE">
        <w:rPr>
          <w:color w:val="000000"/>
          <w:szCs w:val="22"/>
        </w:rPr>
        <w:t>he signs</w:t>
      </w:r>
      <w:r w:rsidR="000B2FF6" w:rsidRPr="00DF15FE">
        <w:rPr>
          <w:color w:val="000000"/>
          <w:szCs w:val="22"/>
        </w:rPr>
        <w:t xml:space="preserve"> merely</w:t>
      </w:r>
      <w:r w:rsidRPr="00DF15FE">
        <w:rPr>
          <w:color w:val="000000"/>
          <w:szCs w:val="22"/>
        </w:rPr>
        <w:t xml:space="preserve"> differ in the </w:t>
      </w:r>
      <w:r w:rsidR="00150A1E" w:rsidRPr="00DF15FE">
        <w:rPr>
          <w:color w:val="000000"/>
          <w:szCs w:val="22"/>
        </w:rPr>
        <w:t>contested sign</w:t>
      </w:r>
      <w:r w:rsidR="001549BC" w:rsidRPr="00DF15FE">
        <w:rPr>
          <w:color w:val="000000"/>
          <w:szCs w:val="22"/>
        </w:rPr>
        <w:t>’s stylisation of the letters</w:t>
      </w:r>
      <w:r w:rsidRPr="00DF15FE">
        <w:rPr>
          <w:color w:val="000000"/>
          <w:szCs w:val="22"/>
        </w:rPr>
        <w:t xml:space="preserve">.  </w:t>
      </w:r>
    </w:p>
    <w:p w14:paraId="214852FA" w14:textId="77777777" w:rsidR="004B580B" w:rsidRPr="00DF15FE" w:rsidRDefault="004B580B" w:rsidP="004B580B">
      <w:pPr>
        <w:jc w:val="both"/>
        <w:rPr>
          <w:color w:val="000000"/>
          <w:szCs w:val="22"/>
        </w:rPr>
      </w:pPr>
    </w:p>
    <w:p w14:paraId="6EA412A4" w14:textId="55BDEA1A" w:rsidR="004B580B" w:rsidRPr="00DF15FE" w:rsidRDefault="004B580B" w:rsidP="004B580B">
      <w:pPr>
        <w:jc w:val="both"/>
        <w:rPr>
          <w:szCs w:val="22"/>
        </w:rPr>
      </w:pPr>
      <w:r w:rsidRPr="00DF15FE">
        <w:rPr>
          <w:color w:val="000000"/>
          <w:szCs w:val="22"/>
        </w:rPr>
        <w:t xml:space="preserve">Therefore, the signs are visually and aurally </w:t>
      </w:r>
      <w:proofErr w:type="gramStart"/>
      <w:r w:rsidRPr="00DF15FE">
        <w:rPr>
          <w:color w:val="000000"/>
          <w:szCs w:val="22"/>
        </w:rPr>
        <w:t>similar to</w:t>
      </w:r>
      <w:proofErr w:type="gramEnd"/>
      <w:r w:rsidRPr="00DF15FE">
        <w:rPr>
          <w:color w:val="000000"/>
          <w:szCs w:val="22"/>
        </w:rPr>
        <w:t xml:space="preserve"> a high</w:t>
      </w:r>
      <w:r w:rsidR="00A9003B" w:rsidRPr="00DF15FE">
        <w:rPr>
          <w:color w:val="000000"/>
          <w:szCs w:val="22"/>
        </w:rPr>
        <w:t xml:space="preserve"> </w:t>
      </w:r>
      <w:r w:rsidRPr="00DF15FE">
        <w:rPr>
          <w:color w:val="000000"/>
          <w:szCs w:val="22"/>
        </w:rPr>
        <w:t>degree.</w:t>
      </w:r>
      <w:bookmarkStart w:id="16" w:name="chk-paragraph-9-3-3-2-2-5_nodeId-8996823"/>
      <w:bookmarkEnd w:id="15"/>
      <w:r w:rsidRPr="00DF15FE">
        <w:rPr>
          <w:color w:val="000000"/>
          <w:szCs w:val="22"/>
        </w:rPr>
        <w:t xml:space="preserve"> </w:t>
      </w:r>
    </w:p>
    <w:p w14:paraId="276C04E8" w14:textId="77777777" w:rsidR="004B580B" w:rsidRPr="00DF15FE" w:rsidRDefault="004B580B" w:rsidP="004B580B">
      <w:pPr>
        <w:jc w:val="both"/>
        <w:rPr>
          <w:szCs w:val="22"/>
        </w:rPr>
      </w:pPr>
    </w:p>
    <w:p w14:paraId="389E2314" w14:textId="47D642C6" w:rsidR="004B580B" w:rsidRPr="00DF15FE" w:rsidRDefault="004B580B" w:rsidP="004B580B">
      <w:pPr>
        <w:pStyle w:val="ui-droppable"/>
        <w:spacing w:before="0" w:beforeAutospacing="0" w:after="0" w:afterAutospacing="0" w:line="256" w:lineRule="auto"/>
        <w:jc w:val="both"/>
        <w:rPr>
          <w:rFonts w:ascii="Arial" w:hAnsi="Arial" w:cs="Arial"/>
          <w:color w:val="000000"/>
          <w:sz w:val="22"/>
          <w:szCs w:val="22"/>
        </w:rPr>
      </w:pPr>
      <w:bookmarkStart w:id="17" w:name="chk-paragraph-9-3-3-2-2-6_nodeId-5052158"/>
      <w:bookmarkEnd w:id="16"/>
      <w:r w:rsidRPr="00DF15FE">
        <w:rPr>
          <w:rStyle w:val="DecisionChar"/>
          <w:rFonts w:ascii="Arial" w:hAnsi="Arial" w:cs="Arial"/>
          <w:b/>
          <w:bCs/>
          <w:sz w:val="22"/>
        </w:rPr>
        <w:t>Conceptually</w:t>
      </w:r>
      <w:r w:rsidRPr="00DF15FE">
        <w:rPr>
          <w:rStyle w:val="DecisionChar"/>
          <w:rFonts w:ascii="Arial" w:hAnsi="Arial" w:cs="Arial"/>
          <w:sz w:val="22"/>
        </w:rPr>
        <w:t xml:space="preserve">, </w:t>
      </w:r>
      <w:r w:rsidRPr="00DF15FE">
        <w:rPr>
          <w:rFonts w:ascii="Arial" w:hAnsi="Arial" w:cs="Arial"/>
          <w:color w:val="000000"/>
          <w:sz w:val="22"/>
          <w:szCs w:val="22"/>
        </w:rPr>
        <w:t xml:space="preserve">the coinciding part of the signs has no meaning for the public in the relevant territory. To this extent, a conceptual comparison is not possible, and the conceptual aspect does not influence the assessment of the similarity of the signs. </w:t>
      </w:r>
    </w:p>
    <w:p w14:paraId="784EC88D" w14:textId="77777777" w:rsidR="0050066C" w:rsidRPr="00DF15FE" w:rsidRDefault="0050066C" w:rsidP="004B580B">
      <w:pPr>
        <w:pStyle w:val="ui-droppable"/>
        <w:spacing w:before="0" w:beforeAutospacing="0" w:after="0" w:afterAutospacing="0" w:line="256" w:lineRule="auto"/>
        <w:jc w:val="both"/>
        <w:rPr>
          <w:rFonts w:ascii="Arial"/>
          <w:color w:val="000000"/>
          <w:sz w:val="22"/>
        </w:rPr>
      </w:pPr>
    </w:p>
    <w:bookmarkEnd w:id="17"/>
    <w:p w14:paraId="25B4773B" w14:textId="77777777" w:rsidR="004B580B" w:rsidRPr="00DF15FE" w:rsidRDefault="004B580B" w:rsidP="004B580B">
      <w:pPr>
        <w:jc w:val="both"/>
        <w:rPr>
          <w:szCs w:val="22"/>
        </w:rPr>
      </w:pPr>
      <w:proofErr w:type="gramStart"/>
      <w:r w:rsidRPr="00DF15FE">
        <w:rPr>
          <w:color w:val="000000"/>
          <w:szCs w:val="22"/>
        </w:rPr>
        <w:t>Taking into account</w:t>
      </w:r>
      <w:proofErr w:type="gramEnd"/>
      <w:r w:rsidRPr="00DF15FE">
        <w:rPr>
          <w:color w:val="000000"/>
          <w:szCs w:val="22"/>
        </w:rPr>
        <w:t xml:space="preserve"> that the signs have been found similar in at least one aspect of the comparison, the examination of the existence of a risk of injury will proceed.</w:t>
      </w:r>
    </w:p>
    <w:p w14:paraId="174ED86B" w14:textId="77777777" w:rsidR="004B580B" w:rsidRPr="00DF15FE" w:rsidRDefault="004B580B" w:rsidP="004B580B">
      <w:pPr>
        <w:jc w:val="both"/>
      </w:pPr>
    </w:p>
    <w:bookmarkEnd w:id="13"/>
    <w:p w14:paraId="669220CF" w14:textId="0D1B491E" w:rsidR="004B580B" w:rsidRPr="00DF15FE" w:rsidRDefault="004B580B" w:rsidP="004B580B">
      <w:pPr>
        <w:jc w:val="both"/>
        <w:rPr>
          <w:b/>
          <w:color w:val="000000"/>
        </w:rPr>
      </w:pPr>
      <w:r w:rsidRPr="00DF15FE">
        <w:rPr>
          <w:b/>
          <w:color w:val="000000"/>
        </w:rPr>
        <w:lastRenderedPageBreak/>
        <w:t>c) The ‘link’ between the signs</w:t>
      </w:r>
    </w:p>
    <w:p w14:paraId="0F01833D" w14:textId="77777777" w:rsidR="004B580B" w:rsidRPr="00DF15FE" w:rsidRDefault="004B580B" w:rsidP="004B580B">
      <w:pPr>
        <w:jc w:val="both"/>
        <w:rPr>
          <w:b/>
          <w:color w:val="000000"/>
        </w:rPr>
      </w:pPr>
    </w:p>
    <w:p w14:paraId="230DB2A5" w14:textId="77777777" w:rsidR="00CF0403" w:rsidRPr="00DF15FE" w:rsidRDefault="00846F82">
      <w:pPr>
        <w:spacing w:line="257" w:lineRule="auto"/>
        <w:jc w:val="both"/>
        <w:rPr>
          <w:color w:val="000000"/>
        </w:rPr>
      </w:pPr>
      <w:r w:rsidRPr="00DF15FE">
        <w:rPr>
          <w:color w:val="000000"/>
        </w:rPr>
        <w:t>The global appreciation of the visual, aural or conceptual similarity of the marks in question must be based on the overall impression given by the marks, bearing in mind</w:t>
      </w:r>
      <w:proofErr w:type="gramStart"/>
      <w:r w:rsidRPr="00DF15FE">
        <w:rPr>
          <w:color w:val="000000"/>
        </w:rPr>
        <w:t>, in particular, their</w:t>
      </w:r>
      <w:proofErr w:type="gramEnd"/>
      <w:r w:rsidRPr="00DF15FE">
        <w:rPr>
          <w:color w:val="000000"/>
        </w:rPr>
        <w:t xml:space="preserve"> distinctive and dominant components (11/11/1997, C-251/95, </w:t>
      </w:r>
      <w:proofErr w:type="spellStart"/>
      <w:r w:rsidRPr="00DF15FE">
        <w:rPr>
          <w:color w:val="000000"/>
        </w:rPr>
        <w:t>Sabèl</w:t>
      </w:r>
      <w:proofErr w:type="spellEnd"/>
      <w:r w:rsidRPr="00DF15FE">
        <w:rPr>
          <w:color w:val="000000"/>
        </w:rPr>
        <w:t>, EU:C:1997:528, § 23).</w:t>
      </w:r>
    </w:p>
    <w:p w14:paraId="625491AF" w14:textId="77777777" w:rsidR="007C0059" w:rsidRPr="00DF15FE" w:rsidRDefault="007C0059">
      <w:pPr>
        <w:spacing w:line="257" w:lineRule="auto"/>
        <w:jc w:val="both"/>
      </w:pPr>
    </w:p>
    <w:p w14:paraId="41C035BC" w14:textId="269E2D41" w:rsidR="007931F8" w:rsidRPr="00DF15FE" w:rsidRDefault="007931F8" w:rsidP="007931F8">
      <w:pPr>
        <w:jc w:val="both"/>
      </w:pPr>
      <w:r w:rsidRPr="00DF15FE">
        <w:rPr>
          <w:color w:val="000000"/>
        </w:rPr>
        <w:t xml:space="preserve">As seen above, the earlier mark </w:t>
      </w:r>
      <w:r w:rsidR="007C0059" w:rsidRPr="00DF15FE">
        <w:rPr>
          <w:color w:val="000000"/>
        </w:rPr>
        <w:t>is</w:t>
      </w:r>
      <w:r w:rsidRPr="00DF15FE">
        <w:rPr>
          <w:color w:val="000000"/>
        </w:rPr>
        <w:t xml:space="preserve"> </w:t>
      </w:r>
      <w:proofErr w:type="gramStart"/>
      <w:r w:rsidRPr="00DF15FE">
        <w:rPr>
          <w:color w:val="000000"/>
        </w:rPr>
        <w:t>reputed</w:t>
      </w:r>
      <w:proofErr w:type="gramEnd"/>
      <w:r w:rsidRPr="00DF15FE">
        <w:rPr>
          <w:color w:val="000000"/>
        </w:rPr>
        <w:t xml:space="preserve"> and the signs are </w:t>
      </w:r>
      <w:r w:rsidR="00800D25" w:rsidRPr="00DF15FE">
        <w:rPr>
          <w:color w:val="000000"/>
        </w:rPr>
        <w:t xml:space="preserve">highly </w:t>
      </w:r>
      <w:r w:rsidRPr="00DF15FE">
        <w:rPr>
          <w:color w:val="000000"/>
        </w:rPr>
        <w:t xml:space="preserve">similar to the extent that they share the letters ‘C’ and ‘H’.  </w:t>
      </w:r>
      <w:proofErr w:type="gramStart"/>
      <w:r w:rsidRPr="00DF15FE">
        <w:rPr>
          <w:color w:val="000000"/>
        </w:rPr>
        <w:t>In order to</w:t>
      </w:r>
      <w:proofErr w:type="gramEnd"/>
      <w:r w:rsidRPr="00DF15FE">
        <w:rPr>
          <w:color w:val="000000"/>
        </w:rPr>
        <w:t xml:space="preserve"> establish the existence of a risk of injury, it is necessary to demonstrate that, given all the relevant factors, the relevant public will establish a link (or association) between the signs. The necessity of such a ‘link’ between the conflicting marks in consumers’ minds is not explicitly mentioned in Article 8(5) EUTMR but has been confirmed by several judgments (23/10/2003, C-408/01, Adidas, EU:C:2003:582, § 29, 31; 27/11/2008, C-252/07, Intel, EU:C:2008:655, § 66). It is not an additional requirement but merely reflects the need to determine whether the association that the public might establish between the signs is such that either detriment or unfair advantage is likely to occur after </w:t>
      </w:r>
      <w:proofErr w:type="gramStart"/>
      <w:r w:rsidRPr="00DF15FE">
        <w:rPr>
          <w:color w:val="000000"/>
        </w:rPr>
        <w:t>all of</w:t>
      </w:r>
      <w:proofErr w:type="gramEnd"/>
      <w:r w:rsidRPr="00DF15FE">
        <w:rPr>
          <w:color w:val="000000"/>
        </w:rPr>
        <w:t xml:space="preserve"> the factors that are relevant to the particular case have been assessed.</w:t>
      </w:r>
    </w:p>
    <w:p w14:paraId="05DA4E1C" w14:textId="7695216D" w:rsidR="007931F8" w:rsidRPr="00DF15FE" w:rsidRDefault="007931F8" w:rsidP="007931F8">
      <w:pPr>
        <w:jc w:val="both"/>
      </w:pPr>
      <w:r w:rsidRPr="00DF15FE">
        <w:rPr>
          <w:color w:val="000000"/>
        </w:rPr>
        <w:t> </w:t>
      </w:r>
    </w:p>
    <w:p w14:paraId="22F32F5D" w14:textId="2086CF6F" w:rsidR="007931F8" w:rsidRPr="00DF15FE" w:rsidRDefault="007931F8" w:rsidP="007931F8">
      <w:pPr>
        <w:jc w:val="both"/>
      </w:pPr>
      <w:r w:rsidRPr="00DF15FE">
        <w:rPr>
          <w:color w:val="000000"/>
        </w:rPr>
        <w:t>Possible relevant factors for the examination of a ‘link’ include (27/11/2008, C-252/07, Intel, EU:C:2008:655, § 42):</w:t>
      </w:r>
    </w:p>
    <w:p w14:paraId="666CB62F" w14:textId="54DFE6D2" w:rsidR="007931F8" w:rsidRPr="00DF15FE" w:rsidRDefault="007931F8" w:rsidP="007931F8">
      <w:pPr>
        <w:jc w:val="both"/>
      </w:pPr>
      <w:r w:rsidRPr="00DF15FE">
        <w:rPr>
          <w:color w:val="000000"/>
        </w:rPr>
        <w:t> </w:t>
      </w:r>
    </w:p>
    <w:p w14:paraId="73961A23" w14:textId="77777777" w:rsidR="007931F8" w:rsidRPr="00DF15FE" w:rsidRDefault="007931F8" w:rsidP="007931F8">
      <w:pPr>
        <w:ind w:left="960" w:hanging="360"/>
        <w:jc w:val="both"/>
      </w:pPr>
      <w:r w:rsidRPr="00DF15FE">
        <w:rPr>
          <w:rFonts w:ascii="Symbol" w:hAnsi="Symbol"/>
        </w:rPr>
        <w:t></w:t>
      </w:r>
      <w:r w:rsidRPr="00DF15FE">
        <w:rPr>
          <w:rFonts w:ascii="Symbol" w:hAnsi="Symbol"/>
        </w:rPr>
        <w:tab/>
      </w:r>
      <w:r w:rsidRPr="00DF15FE">
        <w:rPr>
          <w:color w:val="000000"/>
        </w:rPr>
        <w:t xml:space="preserve">the degree of similarity between the </w:t>
      </w:r>
      <w:proofErr w:type="gramStart"/>
      <w:r w:rsidRPr="00DF15FE">
        <w:rPr>
          <w:color w:val="000000"/>
        </w:rPr>
        <w:t>signs;</w:t>
      </w:r>
      <w:proofErr w:type="gramEnd"/>
    </w:p>
    <w:p w14:paraId="6075B496" w14:textId="18F6E367" w:rsidR="007931F8" w:rsidRPr="00DF15FE" w:rsidRDefault="007931F8" w:rsidP="007931F8">
      <w:pPr>
        <w:ind w:left="960"/>
        <w:jc w:val="both"/>
      </w:pPr>
      <w:r w:rsidRPr="00DF15FE">
        <w:rPr>
          <w:color w:val="000000"/>
        </w:rPr>
        <w:t> </w:t>
      </w:r>
    </w:p>
    <w:p w14:paraId="1E9DD2B5" w14:textId="77777777" w:rsidR="007931F8" w:rsidRPr="00DF15FE" w:rsidRDefault="007931F8" w:rsidP="007931F8">
      <w:pPr>
        <w:ind w:left="960" w:hanging="360"/>
        <w:jc w:val="both"/>
      </w:pPr>
      <w:r w:rsidRPr="00DF15FE">
        <w:rPr>
          <w:rFonts w:ascii="Symbol" w:hAnsi="Symbol"/>
        </w:rPr>
        <w:t></w:t>
      </w:r>
      <w:r w:rsidRPr="00DF15FE">
        <w:rPr>
          <w:rFonts w:ascii="Symbol" w:hAnsi="Symbol"/>
        </w:rPr>
        <w:tab/>
      </w:r>
      <w:r w:rsidRPr="00DF15FE">
        <w:rPr>
          <w:color w:val="000000"/>
        </w:rPr>
        <w:t xml:space="preserve">the nature of the goods and services, including the degree of similarity or dissimilarity between those goods or services, and the relevant </w:t>
      </w:r>
      <w:proofErr w:type="gramStart"/>
      <w:r w:rsidRPr="00DF15FE">
        <w:rPr>
          <w:color w:val="000000"/>
        </w:rPr>
        <w:t>public;</w:t>
      </w:r>
      <w:proofErr w:type="gramEnd"/>
    </w:p>
    <w:p w14:paraId="27A93908" w14:textId="625504A6" w:rsidR="007931F8" w:rsidRPr="00DF15FE" w:rsidRDefault="007931F8" w:rsidP="007931F8">
      <w:pPr>
        <w:ind w:left="960"/>
        <w:jc w:val="both"/>
      </w:pPr>
      <w:r w:rsidRPr="00DF15FE">
        <w:rPr>
          <w:color w:val="000000"/>
        </w:rPr>
        <w:t> </w:t>
      </w:r>
    </w:p>
    <w:p w14:paraId="21FDA221" w14:textId="77777777" w:rsidR="007931F8" w:rsidRPr="00DF15FE" w:rsidRDefault="007931F8" w:rsidP="007931F8">
      <w:pPr>
        <w:ind w:left="960" w:hanging="360"/>
        <w:jc w:val="both"/>
      </w:pPr>
      <w:r w:rsidRPr="00DF15FE">
        <w:rPr>
          <w:rFonts w:ascii="Symbol" w:hAnsi="Symbol"/>
        </w:rPr>
        <w:t></w:t>
      </w:r>
      <w:r w:rsidRPr="00DF15FE">
        <w:rPr>
          <w:rFonts w:ascii="Symbol" w:hAnsi="Symbol"/>
        </w:rPr>
        <w:tab/>
      </w:r>
      <w:r w:rsidRPr="00DF15FE">
        <w:rPr>
          <w:color w:val="000000"/>
        </w:rPr>
        <w:t xml:space="preserve">the strength of the earlier mark’s </w:t>
      </w:r>
      <w:proofErr w:type="gramStart"/>
      <w:r w:rsidRPr="00DF15FE">
        <w:rPr>
          <w:color w:val="000000"/>
        </w:rPr>
        <w:t>reputation;</w:t>
      </w:r>
      <w:proofErr w:type="gramEnd"/>
    </w:p>
    <w:p w14:paraId="1A4184A3" w14:textId="08AC355F" w:rsidR="007931F8" w:rsidRPr="00DF15FE" w:rsidRDefault="007931F8" w:rsidP="007931F8">
      <w:pPr>
        <w:ind w:left="960"/>
        <w:jc w:val="both"/>
      </w:pPr>
      <w:r w:rsidRPr="00DF15FE">
        <w:rPr>
          <w:color w:val="000000"/>
        </w:rPr>
        <w:t> </w:t>
      </w:r>
    </w:p>
    <w:p w14:paraId="5E8A20FA" w14:textId="77777777" w:rsidR="007931F8" w:rsidRPr="00DF15FE" w:rsidRDefault="007931F8" w:rsidP="007931F8">
      <w:pPr>
        <w:ind w:left="960" w:hanging="360"/>
        <w:jc w:val="both"/>
      </w:pPr>
      <w:r w:rsidRPr="00DF15FE">
        <w:rPr>
          <w:rFonts w:ascii="Symbol" w:hAnsi="Symbol"/>
        </w:rPr>
        <w:t></w:t>
      </w:r>
      <w:r w:rsidRPr="00DF15FE">
        <w:rPr>
          <w:rFonts w:ascii="Symbol" w:hAnsi="Symbol"/>
        </w:rPr>
        <w:tab/>
      </w:r>
      <w:r w:rsidRPr="00DF15FE">
        <w:rPr>
          <w:color w:val="000000"/>
        </w:rPr>
        <w:t xml:space="preserve">the degree of the earlier mark’s distinctive character, whether inherent or acquired through </w:t>
      </w:r>
      <w:proofErr w:type="gramStart"/>
      <w:r w:rsidRPr="00DF15FE">
        <w:rPr>
          <w:color w:val="000000"/>
        </w:rPr>
        <w:t>use;</w:t>
      </w:r>
      <w:proofErr w:type="gramEnd"/>
    </w:p>
    <w:p w14:paraId="742006C3" w14:textId="726A18F5" w:rsidR="007931F8" w:rsidRPr="00DF15FE" w:rsidRDefault="007931F8" w:rsidP="007931F8">
      <w:pPr>
        <w:ind w:left="960"/>
        <w:jc w:val="both"/>
      </w:pPr>
      <w:r w:rsidRPr="00DF15FE">
        <w:rPr>
          <w:color w:val="000000"/>
        </w:rPr>
        <w:t> </w:t>
      </w:r>
    </w:p>
    <w:p w14:paraId="0BB04EEB" w14:textId="77777777" w:rsidR="007931F8" w:rsidRPr="00DF15FE" w:rsidRDefault="007931F8" w:rsidP="007931F8">
      <w:pPr>
        <w:ind w:left="960" w:hanging="360"/>
        <w:jc w:val="both"/>
      </w:pPr>
      <w:r w:rsidRPr="00DF15FE">
        <w:rPr>
          <w:rFonts w:ascii="Symbol" w:hAnsi="Symbol"/>
        </w:rPr>
        <w:t></w:t>
      </w:r>
      <w:r w:rsidRPr="00DF15FE">
        <w:rPr>
          <w:rFonts w:ascii="Symbol" w:hAnsi="Symbol"/>
        </w:rPr>
        <w:tab/>
      </w:r>
      <w:r w:rsidRPr="00DF15FE">
        <w:rPr>
          <w:color w:val="000000"/>
        </w:rPr>
        <w:t>the existence of likelihood of confusion on the part of the public.</w:t>
      </w:r>
    </w:p>
    <w:p w14:paraId="05D04C64" w14:textId="6B8FF5D0" w:rsidR="007931F8" w:rsidRPr="00DF15FE" w:rsidRDefault="007931F8" w:rsidP="007931F8">
      <w:pPr>
        <w:jc w:val="both"/>
      </w:pPr>
      <w:r w:rsidRPr="00DF15FE">
        <w:rPr>
          <w:color w:val="000000"/>
        </w:rPr>
        <w:t> </w:t>
      </w:r>
    </w:p>
    <w:p w14:paraId="1B7A5F6B" w14:textId="77777777" w:rsidR="007931F8" w:rsidRPr="00DF15FE" w:rsidRDefault="007931F8" w:rsidP="007931F8">
      <w:pPr>
        <w:jc w:val="both"/>
        <w:rPr>
          <w:color w:val="000000"/>
        </w:rPr>
      </w:pPr>
      <w:r w:rsidRPr="00DF15FE">
        <w:rPr>
          <w:color w:val="000000"/>
        </w:rPr>
        <w:t xml:space="preserve">This list is not </w:t>
      </w:r>
      <w:proofErr w:type="gramStart"/>
      <w:r w:rsidRPr="00DF15FE">
        <w:rPr>
          <w:color w:val="000000"/>
        </w:rPr>
        <w:t>exhaustive</w:t>
      </w:r>
      <w:proofErr w:type="gramEnd"/>
      <w:r w:rsidRPr="00DF15FE">
        <w:rPr>
          <w:color w:val="000000"/>
        </w:rPr>
        <w:t xml:space="preserve"> and other criteria may be relevant depending on the particular circumstances. Moreover, the existence of a ‘link’ may be established </w:t>
      </w:r>
      <w:proofErr w:type="gramStart"/>
      <w:r w:rsidRPr="00DF15FE">
        <w:rPr>
          <w:color w:val="000000"/>
        </w:rPr>
        <w:t>on the basis of</w:t>
      </w:r>
      <w:proofErr w:type="gramEnd"/>
      <w:r w:rsidRPr="00DF15FE">
        <w:rPr>
          <w:color w:val="000000"/>
        </w:rPr>
        <w:t xml:space="preserve"> only some of these criteria.</w:t>
      </w:r>
    </w:p>
    <w:p w14:paraId="40AB4711" w14:textId="0D300798" w:rsidR="007931F8" w:rsidRPr="00DF15FE" w:rsidRDefault="007931F8" w:rsidP="007931F8">
      <w:pPr>
        <w:jc w:val="both"/>
        <w:rPr>
          <w:color w:val="000000"/>
        </w:rPr>
      </w:pPr>
      <w:r w:rsidRPr="00DF15FE">
        <w:rPr>
          <w:color w:val="000000"/>
        </w:rPr>
        <w:t> </w:t>
      </w:r>
    </w:p>
    <w:p w14:paraId="5152675B" w14:textId="011FBA52" w:rsidR="00CE5B10" w:rsidRPr="00DF15FE" w:rsidRDefault="00CE5B10" w:rsidP="00CE5B10">
      <w:pPr>
        <w:jc w:val="both"/>
        <w:rPr>
          <w:color w:val="000000"/>
          <w:szCs w:val="22"/>
        </w:rPr>
      </w:pPr>
      <w:bookmarkStart w:id="18" w:name="_Hlk106711745"/>
      <w:r w:rsidRPr="00DF15FE">
        <w:rPr>
          <w:color w:val="000000"/>
          <w:szCs w:val="22"/>
        </w:rPr>
        <w:t xml:space="preserve">Therefore, bearing in mind the factors referred to above and the facts of the present proceedings, </w:t>
      </w:r>
      <w:r w:rsidR="002D338B" w:rsidRPr="00DF15FE">
        <w:rPr>
          <w:color w:val="000000"/>
          <w:szCs w:val="22"/>
        </w:rPr>
        <w:t xml:space="preserve">in particular the </w:t>
      </w:r>
      <w:r w:rsidR="005346EA" w:rsidRPr="00DF15FE">
        <w:rPr>
          <w:color w:val="000000"/>
          <w:szCs w:val="22"/>
        </w:rPr>
        <w:t xml:space="preserve">very high similarities and the reputation established, </w:t>
      </w:r>
      <w:r w:rsidRPr="00DF15FE">
        <w:rPr>
          <w:color w:val="000000"/>
          <w:szCs w:val="22"/>
        </w:rPr>
        <w:t>the Opposition Division finds that there is a</w:t>
      </w:r>
      <w:r w:rsidR="009E4AEE" w:rsidRPr="00DF15FE">
        <w:rPr>
          <w:color w:val="000000"/>
          <w:szCs w:val="22"/>
        </w:rPr>
        <w:t xml:space="preserve"> </w:t>
      </w:r>
      <w:r w:rsidRPr="00DF15FE">
        <w:rPr>
          <w:color w:val="000000"/>
          <w:szCs w:val="22"/>
        </w:rPr>
        <w:t>link between the signs</w:t>
      </w:r>
      <w:r w:rsidR="00A9003B" w:rsidRPr="00DF15FE">
        <w:rPr>
          <w:color w:val="000000"/>
          <w:szCs w:val="22"/>
        </w:rPr>
        <w:t xml:space="preserve"> not only </w:t>
      </w:r>
      <w:r w:rsidRPr="00DF15FE">
        <w:rPr>
          <w:color w:val="000000"/>
          <w:szCs w:val="22"/>
        </w:rPr>
        <w:t xml:space="preserve">in relation to the contested goods </w:t>
      </w:r>
      <w:r w:rsidR="00346486" w:rsidRPr="00DF15FE">
        <w:rPr>
          <w:color w:val="000000"/>
          <w:szCs w:val="22"/>
        </w:rPr>
        <w:t xml:space="preserve">in Class 25 </w:t>
      </w:r>
      <w:r w:rsidR="00A9003B" w:rsidRPr="00DF15FE">
        <w:rPr>
          <w:color w:val="000000"/>
          <w:szCs w:val="22"/>
        </w:rPr>
        <w:t xml:space="preserve">(which relate to identical or similar goods), but also as regards the services in Class </w:t>
      </w:r>
      <w:r w:rsidR="00346486" w:rsidRPr="00DF15FE">
        <w:rPr>
          <w:color w:val="000000"/>
          <w:szCs w:val="22"/>
        </w:rPr>
        <w:t>35</w:t>
      </w:r>
      <w:r w:rsidRPr="00DF15FE">
        <w:rPr>
          <w:color w:val="000000"/>
          <w:szCs w:val="22"/>
        </w:rPr>
        <w:t xml:space="preserve">, which </w:t>
      </w:r>
      <w:r w:rsidR="00800D25" w:rsidRPr="00DF15FE">
        <w:rPr>
          <w:color w:val="000000"/>
          <w:szCs w:val="22"/>
        </w:rPr>
        <w:t xml:space="preserve">may </w:t>
      </w:r>
      <w:r w:rsidR="00346486" w:rsidRPr="00DF15FE">
        <w:rPr>
          <w:color w:val="000000"/>
          <w:szCs w:val="22"/>
        </w:rPr>
        <w:t xml:space="preserve">relate to </w:t>
      </w:r>
      <w:r w:rsidR="002D338B" w:rsidRPr="00DF15FE">
        <w:rPr>
          <w:color w:val="000000"/>
          <w:szCs w:val="22"/>
        </w:rPr>
        <w:t xml:space="preserve">the sales </w:t>
      </w:r>
      <w:r w:rsidR="00A9003B" w:rsidRPr="00DF15FE">
        <w:rPr>
          <w:color w:val="000000"/>
          <w:szCs w:val="22"/>
        </w:rPr>
        <w:t xml:space="preserve">or advertising </w:t>
      </w:r>
      <w:r w:rsidR="002D338B" w:rsidRPr="00DF15FE">
        <w:rPr>
          <w:color w:val="000000"/>
          <w:szCs w:val="22"/>
        </w:rPr>
        <w:t>of, inter alia, clothing</w:t>
      </w:r>
      <w:r w:rsidR="00800D25" w:rsidRPr="00DF15FE">
        <w:rPr>
          <w:color w:val="000000"/>
          <w:szCs w:val="22"/>
        </w:rPr>
        <w:t xml:space="preserve"> and perfumery</w:t>
      </w:r>
      <w:r w:rsidR="002D338B" w:rsidRPr="00DF15FE">
        <w:rPr>
          <w:color w:val="000000"/>
          <w:szCs w:val="22"/>
        </w:rPr>
        <w:t xml:space="preserve"> products</w:t>
      </w:r>
      <w:r w:rsidR="00C018A8" w:rsidRPr="00DF15FE">
        <w:rPr>
          <w:color w:val="000000"/>
          <w:szCs w:val="22"/>
        </w:rPr>
        <w:t xml:space="preserve">. </w:t>
      </w:r>
    </w:p>
    <w:p w14:paraId="276BBEDE" w14:textId="77777777" w:rsidR="002F0A40" w:rsidRPr="00DF15FE" w:rsidRDefault="002F0A40" w:rsidP="00CE5B10">
      <w:pPr>
        <w:jc w:val="both"/>
        <w:rPr>
          <w:color w:val="000000"/>
          <w:szCs w:val="22"/>
        </w:rPr>
      </w:pPr>
    </w:p>
    <w:p w14:paraId="0F945C03" w14:textId="73E21DC7" w:rsidR="002F0A40" w:rsidRPr="00DF15FE" w:rsidRDefault="002F0A40" w:rsidP="002F0A40">
      <w:pPr>
        <w:jc w:val="both"/>
        <w:rPr>
          <w:color w:val="000000"/>
          <w:szCs w:val="22"/>
        </w:rPr>
      </w:pPr>
      <w:r w:rsidRPr="00DF15FE">
        <w:rPr>
          <w:szCs w:val="22"/>
        </w:rPr>
        <w:t xml:space="preserve">In a natural way, there will be an obvious association created in the mind of consumers </w:t>
      </w:r>
      <w:r w:rsidRPr="00DF15FE">
        <w:rPr>
          <w:color w:val="000000"/>
          <w:szCs w:val="22"/>
        </w:rPr>
        <w:t xml:space="preserve">confronted with various items of the contested goods in Class 25. </w:t>
      </w:r>
    </w:p>
    <w:p w14:paraId="499AA958" w14:textId="77777777" w:rsidR="002F0A40" w:rsidRPr="00DF15FE" w:rsidRDefault="002F0A40" w:rsidP="002F0A40">
      <w:pPr>
        <w:jc w:val="both"/>
        <w:rPr>
          <w:color w:val="000000"/>
          <w:szCs w:val="22"/>
        </w:rPr>
      </w:pPr>
    </w:p>
    <w:p w14:paraId="26164874" w14:textId="097666CF" w:rsidR="00A9003B" w:rsidRPr="00DF15FE" w:rsidRDefault="009E4AEE" w:rsidP="00800D25">
      <w:pPr>
        <w:pStyle w:val="Default"/>
        <w:jc w:val="both"/>
        <w:rPr>
          <w:rFonts w:eastAsia="Calibri"/>
          <w:sz w:val="22"/>
          <w:szCs w:val="22"/>
          <w:lang w:val="en-IE"/>
        </w:rPr>
      </w:pPr>
      <w:r w:rsidRPr="00DF15FE">
        <w:rPr>
          <w:sz w:val="22"/>
          <w:szCs w:val="22"/>
          <w:lang w:val="en-GB" w:eastAsia="en-GB"/>
        </w:rPr>
        <w:t>In addition, w</w:t>
      </w:r>
      <w:r w:rsidR="00A9003B" w:rsidRPr="00DF15FE">
        <w:rPr>
          <w:sz w:val="22"/>
          <w:szCs w:val="22"/>
          <w:lang w:val="en-GB" w:eastAsia="en-GB"/>
        </w:rPr>
        <w:t xml:space="preserve">hile it is clear that clothing and part of the services belong to different market sectors, the market reality also shows that nowadays, renowned fashion companies often extend their businesses offering also </w:t>
      </w:r>
      <w:r w:rsidR="00BD6588" w:rsidRPr="00DF15FE">
        <w:rPr>
          <w:sz w:val="22"/>
          <w:szCs w:val="22"/>
          <w:lang w:val="en-GB" w:eastAsia="en-GB"/>
        </w:rPr>
        <w:t xml:space="preserve">services related to </w:t>
      </w:r>
      <w:proofErr w:type="gramStart"/>
      <w:r w:rsidR="00BD6588" w:rsidRPr="00DF15FE">
        <w:rPr>
          <w:sz w:val="22"/>
          <w:szCs w:val="22"/>
          <w:lang w:val="en-GB" w:eastAsia="en-GB"/>
        </w:rPr>
        <w:t>boosting</w:t>
      </w:r>
      <w:r w:rsidR="009E1CD5" w:rsidRPr="00DF15FE">
        <w:rPr>
          <w:sz w:val="22"/>
          <w:szCs w:val="22"/>
          <w:lang w:val="en-GB" w:eastAsia="en-GB"/>
        </w:rPr>
        <w:t>, or</w:t>
      </w:r>
      <w:proofErr w:type="gramEnd"/>
      <w:r w:rsidR="009E1CD5" w:rsidRPr="00DF15FE">
        <w:rPr>
          <w:sz w:val="22"/>
          <w:szCs w:val="22"/>
          <w:lang w:val="en-GB" w:eastAsia="en-GB"/>
        </w:rPr>
        <w:t xml:space="preserve"> facilitating</w:t>
      </w:r>
      <w:r w:rsidR="00BD6588" w:rsidRPr="00DF15FE">
        <w:rPr>
          <w:sz w:val="22"/>
          <w:szCs w:val="22"/>
          <w:lang w:val="en-GB" w:eastAsia="en-GB"/>
        </w:rPr>
        <w:t xml:space="preserve"> the sales of </w:t>
      </w:r>
      <w:r w:rsidR="009E1CD5" w:rsidRPr="00DF15FE">
        <w:rPr>
          <w:sz w:val="22"/>
          <w:szCs w:val="22"/>
          <w:lang w:val="en-GB" w:eastAsia="en-GB"/>
        </w:rPr>
        <w:t xml:space="preserve">their products. </w:t>
      </w:r>
      <w:r w:rsidR="00177A34" w:rsidRPr="00DF15FE">
        <w:rPr>
          <w:sz w:val="22"/>
          <w:szCs w:val="22"/>
          <w:lang w:val="en-GB" w:eastAsia="en-GB"/>
        </w:rPr>
        <w:t xml:space="preserve">It can indeed not be excluded that a company with a highly reputed brand such as the earlier mark in question </w:t>
      </w:r>
      <w:r w:rsidR="00800D25" w:rsidRPr="00DF15FE">
        <w:rPr>
          <w:sz w:val="22"/>
          <w:szCs w:val="22"/>
          <w:lang w:val="en-GB" w:eastAsia="en-GB"/>
        </w:rPr>
        <w:t xml:space="preserve">enjoys </w:t>
      </w:r>
      <w:r w:rsidR="00177A34" w:rsidRPr="00DF15FE">
        <w:rPr>
          <w:sz w:val="22"/>
          <w:szCs w:val="22"/>
          <w:lang w:val="en-GB" w:eastAsia="en-GB"/>
        </w:rPr>
        <w:t>in Spanish society may also be responsible for such services, where related to clothing or the fragrances sector</w:t>
      </w:r>
      <w:r w:rsidR="00314A45" w:rsidRPr="00DF15FE">
        <w:rPr>
          <w:sz w:val="22"/>
          <w:szCs w:val="22"/>
          <w:lang w:val="en-GB" w:eastAsia="en-GB"/>
        </w:rPr>
        <w:t xml:space="preserve">, or that in any event consumers may make a mental link between the goods and services at issue due to </w:t>
      </w:r>
      <w:r w:rsidR="00800D25" w:rsidRPr="00DF15FE">
        <w:rPr>
          <w:sz w:val="22"/>
          <w:szCs w:val="22"/>
          <w:lang w:val="en-GB" w:eastAsia="en-GB"/>
        </w:rPr>
        <w:t xml:space="preserve">the high similarities </w:t>
      </w:r>
      <w:r w:rsidR="00800D25" w:rsidRPr="00DF15FE">
        <w:rPr>
          <w:sz w:val="22"/>
          <w:szCs w:val="22"/>
          <w:lang w:val="en-GB" w:eastAsia="en-GB"/>
        </w:rPr>
        <w:lastRenderedPageBreak/>
        <w:t xml:space="preserve">between the signs at stake in addition to </w:t>
      </w:r>
      <w:r w:rsidR="00314A45" w:rsidRPr="00DF15FE">
        <w:rPr>
          <w:sz w:val="22"/>
          <w:szCs w:val="22"/>
          <w:lang w:val="en-GB" w:eastAsia="en-GB"/>
        </w:rPr>
        <w:t xml:space="preserve">the very extensive degree of recognition of the earlier mark. </w:t>
      </w:r>
      <w:r w:rsidR="009E1CD5" w:rsidRPr="00DF15FE">
        <w:rPr>
          <w:sz w:val="22"/>
          <w:szCs w:val="22"/>
        </w:rPr>
        <w:t xml:space="preserve">Therefore, although </w:t>
      </w:r>
      <w:r w:rsidR="002F0A40" w:rsidRPr="00DF15FE">
        <w:rPr>
          <w:sz w:val="22"/>
          <w:szCs w:val="22"/>
        </w:rPr>
        <w:t xml:space="preserve">at least </w:t>
      </w:r>
      <w:r w:rsidR="009E1CD5" w:rsidRPr="00DF15FE">
        <w:rPr>
          <w:sz w:val="22"/>
          <w:szCs w:val="22"/>
        </w:rPr>
        <w:t xml:space="preserve">part of the contested services </w:t>
      </w:r>
      <w:proofErr w:type="gramStart"/>
      <w:r w:rsidR="00A9003B" w:rsidRPr="00DF15FE">
        <w:rPr>
          <w:sz w:val="22"/>
          <w:szCs w:val="22"/>
        </w:rPr>
        <w:t>are</w:t>
      </w:r>
      <w:proofErr w:type="gramEnd"/>
      <w:r w:rsidR="00A9003B" w:rsidRPr="00DF15FE">
        <w:rPr>
          <w:sz w:val="22"/>
          <w:szCs w:val="22"/>
        </w:rPr>
        <w:t xml:space="preserve"> dissimilar to the reputed goods, the assessed degree of reputation of the earlier mark and the similarity between the signs are sufficient to deem that </w:t>
      </w:r>
      <w:r w:rsidR="0008787D" w:rsidRPr="00DF15FE">
        <w:rPr>
          <w:sz w:val="22"/>
          <w:szCs w:val="22"/>
        </w:rPr>
        <w:t xml:space="preserve">it cannot be excluded that </w:t>
      </w:r>
      <w:r w:rsidR="00A9003B" w:rsidRPr="00DF15FE">
        <w:rPr>
          <w:sz w:val="22"/>
          <w:szCs w:val="22"/>
        </w:rPr>
        <w:t xml:space="preserve">consumers </w:t>
      </w:r>
      <w:r w:rsidR="0008787D" w:rsidRPr="00DF15FE">
        <w:rPr>
          <w:sz w:val="22"/>
          <w:szCs w:val="22"/>
        </w:rPr>
        <w:t xml:space="preserve">may </w:t>
      </w:r>
      <w:r w:rsidR="00A9003B" w:rsidRPr="00DF15FE">
        <w:rPr>
          <w:sz w:val="22"/>
          <w:szCs w:val="22"/>
        </w:rPr>
        <w:t xml:space="preserve">make a </w:t>
      </w:r>
      <w:r w:rsidR="0008787D" w:rsidRPr="00DF15FE">
        <w:rPr>
          <w:sz w:val="22"/>
          <w:szCs w:val="22"/>
        </w:rPr>
        <w:t xml:space="preserve">mental </w:t>
      </w:r>
      <w:r w:rsidR="00A9003B" w:rsidRPr="00DF15FE">
        <w:rPr>
          <w:sz w:val="22"/>
          <w:szCs w:val="22"/>
        </w:rPr>
        <w:t xml:space="preserve">link between the signs in relation to these goods. </w:t>
      </w:r>
      <w:r w:rsidR="002F0A40" w:rsidRPr="00DF15FE">
        <w:rPr>
          <w:sz w:val="22"/>
          <w:szCs w:val="22"/>
        </w:rPr>
        <w:t>There is indeed a point of connection between</w:t>
      </w:r>
      <w:r w:rsidR="002F0A40" w:rsidRPr="00DF15FE">
        <w:rPr>
          <w:rFonts w:eastAsia="Calibri"/>
          <w:sz w:val="22"/>
          <w:szCs w:val="22"/>
          <w:lang w:val="en-IE"/>
        </w:rPr>
        <w:t xml:space="preserve"> the services, considering the </w:t>
      </w:r>
      <w:r w:rsidR="00800D25" w:rsidRPr="00DF15FE">
        <w:rPr>
          <w:rFonts w:eastAsia="Calibri"/>
          <w:sz w:val="22"/>
          <w:szCs w:val="22"/>
          <w:lang w:val="en-IE"/>
        </w:rPr>
        <w:t xml:space="preserve">earlier mark’s </w:t>
      </w:r>
      <w:r w:rsidR="002F0A40" w:rsidRPr="00DF15FE">
        <w:rPr>
          <w:rFonts w:eastAsia="Calibri"/>
          <w:sz w:val="22"/>
          <w:szCs w:val="22"/>
          <w:lang w:val="en-IE"/>
        </w:rPr>
        <w:t xml:space="preserve">very extensive degree of recognition and the </w:t>
      </w:r>
      <w:r w:rsidR="00800D25" w:rsidRPr="00DF15FE">
        <w:rPr>
          <w:rFonts w:eastAsia="Calibri"/>
          <w:sz w:val="22"/>
          <w:szCs w:val="22"/>
          <w:lang w:val="en-IE"/>
        </w:rPr>
        <w:t xml:space="preserve">signs’ </w:t>
      </w:r>
      <w:r w:rsidR="008717E6" w:rsidRPr="00DF15FE">
        <w:rPr>
          <w:rFonts w:eastAsia="Calibri"/>
          <w:sz w:val="22"/>
          <w:szCs w:val="22"/>
          <w:lang w:val="en-IE"/>
        </w:rPr>
        <w:t xml:space="preserve">similarities. </w:t>
      </w:r>
      <w:r w:rsidR="002F0A40" w:rsidRPr="00DF15FE">
        <w:rPr>
          <w:rFonts w:eastAsia="Calibri"/>
          <w:sz w:val="22"/>
          <w:szCs w:val="22"/>
          <w:lang w:val="en-IE"/>
        </w:rPr>
        <w:t xml:space="preserve"> </w:t>
      </w:r>
    </w:p>
    <w:p w14:paraId="3E854B72" w14:textId="77777777" w:rsidR="002F0A40" w:rsidRPr="00DF15FE" w:rsidRDefault="002F0A40" w:rsidP="002F0A40">
      <w:pPr>
        <w:pStyle w:val="Default"/>
        <w:jc w:val="both"/>
        <w:rPr>
          <w:sz w:val="22"/>
          <w:szCs w:val="22"/>
          <w:lang w:val="en-GB"/>
        </w:rPr>
      </w:pPr>
    </w:p>
    <w:p w14:paraId="35A2933E" w14:textId="77777777" w:rsidR="002F0A40" w:rsidRPr="00DF15FE" w:rsidRDefault="002F0A40" w:rsidP="00A9003B">
      <w:pPr>
        <w:jc w:val="both"/>
        <w:rPr>
          <w:szCs w:val="22"/>
        </w:rPr>
      </w:pPr>
      <w:r w:rsidRPr="00DF15FE">
        <w:rPr>
          <w:szCs w:val="22"/>
        </w:rPr>
        <w:t xml:space="preserve">In this respect, it must also be noted that the applicant has not put forward any arguments to the contrary. </w:t>
      </w:r>
    </w:p>
    <w:p w14:paraId="08F29FC2" w14:textId="77777777" w:rsidR="002F0A40" w:rsidRPr="00DF15FE" w:rsidRDefault="002F0A40" w:rsidP="00A9003B">
      <w:pPr>
        <w:jc w:val="both"/>
        <w:rPr>
          <w:szCs w:val="22"/>
        </w:rPr>
      </w:pPr>
    </w:p>
    <w:p w14:paraId="6153E7A2" w14:textId="0FEBD4B1" w:rsidR="00CE5B10" w:rsidRPr="00DF15FE" w:rsidRDefault="005D4B62" w:rsidP="00CE5B10">
      <w:pPr>
        <w:pStyle w:val="Default"/>
        <w:jc w:val="both"/>
        <w:rPr>
          <w:sz w:val="22"/>
          <w:szCs w:val="22"/>
        </w:rPr>
      </w:pPr>
      <w:r w:rsidRPr="00DF15FE">
        <w:rPr>
          <w:sz w:val="22"/>
          <w:szCs w:val="22"/>
        </w:rPr>
        <w:t xml:space="preserve">The </w:t>
      </w:r>
      <w:r w:rsidR="00CE5B10" w:rsidRPr="00DF15FE">
        <w:rPr>
          <w:sz w:val="22"/>
          <w:szCs w:val="22"/>
        </w:rPr>
        <w:t xml:space="preserve">Opposition Division </w:t>
      </w:r>
      <w:r w:rsidR="002F0A40" w:rsidRPr="00DF15FE">
        <w:rPr>
          <w:sz w:val="22"/>
          <w:szCs w:val="22"/>
        </w:rPr>
        <w:t xml:space="preserve">concludes </w:t>
      </w:r>
      <w:r w:rsidR="00CE5B10" w:rsidRPr="00DF15FE">
        <w:rPr>
          <w:sz w:val="22"/>
          <w:szCs w:val="22"/>
        </w:rPr>
        <w:t xml:space="preserve">that the relevant consumers </w:t>
      </w:r>
      <w:r w:rsidR="0008787D" w:rsidRPr="00DF15FE">
        <w:rPr>
          <w:sz w:val="22"/>
          <w:szCs w:val="22"/>
        </w:rPr>
        <w:t xml:space="preserve">may </w:t>
      </w:r>
      <w:r w:rsidR="00CE5B10" w:rsidRPr="00DF15FE">
        <w:rPr>
          <w:sz w:val="22"/>
          <w:szCs w:val="22"/>
        </w:rPr>
        <w:t xml:space="preserve">establish a link (or association) between the signs in relation to </w:t>
      </w:r>
      <w:r w:rsidRPr="00DF15FE">
        <w:rPr>
          <w:sz w:val="22"/>
          <w:szCs w:val="22"/>
        </w:rPr>
        <w:t xml:space="preserve">the contested </w:t>
      </w:r>
      <w:r w:rsidR="00CE5B10" w:rsidRPr="00DF15FE">
        <w:rPr>
          <w:sz w:val="22"/>
          <w:szCs w:val="22"/>
        </w:rPr>
        <w:t xml:space="preserve">goods </w:t>
      </w:r>
      <w:r w:rsidRPr="00DF15FE">
        <w:rPr>
          <w:sz w:val="22"/>
          <w:szCs w:val="22"/>
        </w:rPr>
        <w:t xml:space="preserve">and services </w:t>
      </w:r>
      <w:r w:rsidR="00CE5B10" w:rsidRPr="00DF15FE">
        <w:rPr>
          <w:sz w:val="22"/>
          <w:szCs w:val="22"/>
        </w:rPr>
        <w:t xml:space="preserve">referred to above. </w:t>
      </w:r>
    </w:p>
    <w:p w14:paraId="583FC54A" w14:textId="77777777" w:rsidR="00C018A8" w:rsidRPr="00DF15FE" w:rsidRDefault="00C018A8" w:rsidP="00CE5B10">
      <w:pPr>
        <w:pStyle w:val="Default"/>
        <w:jc w:val="both"/>
        <w:rPr>
          <w:sz w:val="22"/>
          <w:szCs w:val="22"/>
        </w:rPr>
      </w:pPr>
    </w:p>
    <w:p w14:paraId="7F0BF172" w14:textId="7E125719" w:rsidR="00CE5B10" w:rsidRPr="00DF15FE" w:rsidRDefault="00CE5B10" w:rsidP="00CE5B10">
      <w:pPr>
        <w:jc w:val="both"/>
        <w:rPr>
          <w:rFonts w:eastAsia="Times New Roman"/>
          <w:szCs w:val="22"/>
        </w:rPr>
      </w:pPr>
      <w:r w:rsidRPr="00DF15FE">
        <w:rPr>
          <w:rFonts w:eastAsiaTheme="minorHAnsi"/>
          <w:szCs w:val="22"/>
        </w:rPr>
        <w:t>However, although a ‘link’ between the signs is a necessary condition for further assessing whether detriment or unfair advantage are likely, the existence of such a link is not sufficient, in itself, for a finding that there may be one of the forms of damage referred to in Article 8(5) EUTMR (26/09/2012, T</w:t>
      </w:r>
      <w:r w:rsidRPr="00DF15FE">
        <w:rPr>
          <w:rFonts w:eastAsiaTheme="minorHAnsi"/>
          <w:szCs w:val="22"/>
        </w:rPr>
        <w:noBreakHyphen/>
        <w:t xml:space="preserve">301/09, </w:t>
      </w:r>
      <w:proofErr w:type="spellStart"/>
      <w:r w:rsidRPr="00DF15FE">
        <w:rPr>
          <w:rFonts w:eastAsiaTheme="minorHAnsi"/>
          <w:szCs w:val="22"/>
        </w:rPr>
        <w:t>Citigate</w:t>
      </w:r>
      <w:proofErr w:type="spellEnd"/>
      <w:r w:rsidRPr="00DF15FE">
        <w:rPr>
          <w:rFonts w:eastAsiaTheme="minorHAnsi"/>
          <w:szCs w:val="22"/>
        </w:rPr>
        <w:t>, EU:T:2012:473, § 96)</w:t>
      </w:r>
      <w:r w:rsidRPr="00DF15FE">
        <w:rPr>
          <w:rFonts w:eastAsia="Times New Roman"/>
          <w:szCs w:val="22"/>
        </w:rPr>
        <w:t>.</w:t>
      </w:r>
    </w:p>
    <w:p w14:paraId="26CF3A4B" w14:textId="77777777" w:rsidR="00A9003B" w:rsidRPr="00DF15FE" w:rsidRDefault="00A9003B" w:rsidP="00CE5B10">
      <w:pPr>
        <w:jc w:val="both"/>
        <w:rPr>
          <w:rFonts w:eastAsia="Times New Roman"/>
          <w:szCs w:val="22"/>
        </w:rPr>
      </w:pPr>
    </w:p>
    <w:p w14:paraId="083AA0F9" w14:textId="77777777" w:rsidR="00CE5B10" w:rsidRPr="00DF15FE" w:rsidRDefault="00CE5B10" w:rsidP="00CE5B10">
      <w:pPr>
        <w:jc w:val="both"/>
        <w:rPr>
          <w:rFonts w:eastAsia="Times New Roman"/>
          <w:szCs w:val="22"/>
        </w:rPr>
      </w:pPr>
    </w:p>
    <w:bookmarkEnd w:id="18"/>
    <w:p w14:paraId="12BF7FFC" w14:textId="77777777" w:rsidR="007931F8" w:rsidRPr="00DF15FE" w:rsidRDefault="007931F8" w:rsidP="007931F8">
      <w:pPr>
        <w:jc w:val="both"/>
        <w:rPr>
          <w:szCs w:val="22"/>
        </w:rPr>
      </w:pPr>
      <w:r w:rsidRPr="00DF15FE">
        <w:rPr>
          <w:b/>
          <w:color w:val="000000"/>
          <w:szCs w:val="22"/>
        </w:rPr>
        <w:t>d) Risk of injury</w:t>
      </w:r>
    </w:p>
    <w:p w14:paraId="579DB42C" w14:textId="77777777" w:rsidR="007931F8" w:rsidRPr="00DF15FE" w:rsidRDefault="007931F8" w:rsidP="007931F8">
      <w:pPr>
        <w:jc w:val="both"/>
        <w:rPr>
          <w:color w:val="000000"/>
          <w:szCs w:val="22"/>
        </w:rPr>
      </w:pPr>
    </w:p>
    <w:p w14:paraId="5DF9FB40" w14:textId="77777777" w:rsidR="00E770C2" w:rsidRPr="00DF15FE" w:rsidRDefault="00E770C2" w:rsidP="00E770C2">
      <w:pPr>
        <w:jc w:val="both"/>
        <w:rPr>
          <w:szCs w:val="22"/>
        </w:rPr>
      </w:pPr>
      <w:bookmarkStart w:id="19" w:name="chk-paragraph-10-3-7_nodeId-304569702"/>
      <w:bookmarkEnd w:id="12"/>
      <w:r w:rsidRPr="00DF15FE">
        <w:rPr>
          <w:color w:val="000000"/>
          <w:szCs w:val="22"/>
        </w:rPr>
        <w:t>Use of the contested mark will fall under Article 8(5) EUTMR when any of the following situations arise:</w:t>
      </w:r>
    </w:p>
    <w:p w14:paraId="5A28B97B" w14:textId="59C9EF7A" w:rsidR="00E770C2" w:rsidRPr="00DF15FE" w:rsidRDefault="00E770C2" w:rsidP="00E770C2">
      <w:pPr>
        <w:jc w:val="both"/>
        <w:rPr>
          <w:szCs w:val="22"/>
        </w:rPr>
      </w:pPr>
      <w:r w:rsidRPr="00DF15FE">
        <w:rPr>
          <w:color w:val="000000"/>
          <w:szCs w:val="22"/>
        </w:rPr>
        <w:t> </w:t>
      </w:r>
    </w:p>
    <w:p w14:paraId="67607C2C" w14:textId="77777777"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 xml:space="preserve">it takes unfair advantage of the distinctive character or the repute of the earlier </w:t>
      </w:r>
      <w:proofErr w:type="gramStart"/>
      <w:r w:rsidRPr="00DF15FE">
        <w:rPr>
          <w:color w:val="000000"/>
          <w:szCs w:val="22"/>
        </w:rPr>
        <w:t>mark;</w:t>
      </w:r>
      <w:proofErr w:type="gramEnd"/>
    </w:p>
    <w:p w14:paraId="7B8891AD" w14:textId="7E30EC3D" w:rsidR="00E770C2" w:rsidRPr="00DF15FE" w:rsidRDefault="00E770C2" w:rsidP="00E770C2">
      <w:pPr>
        <w:ind w:left="960"/>
        <w:jc w:val="both"/>
        <w:rPr>
          <w:szCs w:val="22"/>
        </w:rPr>
      </w:pPr>
      <w:r w:rsidRPr="00DF15FE">
        <w:rPr>
          <w:color w:val="000000"/>
          <w:szCs w:val="22"/>
        </w:rPr>
        <w:t> </w:t>
      </w:r>
    </w:p>
    <w:p w14:paraId="4149970E" w14:textId="77777777"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 xml:space="preserve">it is detrimental to the repute of the earlier </w:t>
      </w:r>
      <w:proofErr w:type="gramStart"/>
      <w:r w:rsidRPr="00DF15FE">
        <w:rPr>
          <w:color w:val="000000"/>
          <w:szCs w:val="22"/>
        </w:rPr>
        <w:t>mark;</w:t>
      </w:r>
      <w:proofErr w:type="gramEnd"/>
    </w:p>
    <w:p w14:paraId="3F34BBA5" w14:textId="02260155" w:rsidR="00E770C2" w:rsidRPr="00DF15FE" w:rsidRDefault="00E770C2" w:rsidP="00E770C2">
      <w:pPr>
        <w:ind w:left="960"/>
        <w:jc w:val="both"/>
        <w:rPr>
          <w:szCs w:val="22"/>
        </w:rPr>
      </w:pPr>
      <w:r w:rsidRPr="00DF15FE">
        <w:rPr>
          <w:color w:val="000000"/>
          <w:szCs w:val="22"/>
        </w:rPr>
        <w:t> </w:t>
      </w:r>
    </w:p>
    <w:p w14:paraId="650F6E53" w14:textId="77777777"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it is detrimental to the distinctive character of the earlier mark.</w:t>
      </w:r>
    </w:p>
    <w:p w14:paraId="1C0847A3" w14:textId="36DC959F" w:rsidR="00E770C2" w:rsidRPr="00DF15FE" w:rsidRDefault="00E770C2" w:rsidP="00E770C2">
      <w:pPr>
        <w:jc w:val="both"/>
        <w:rPr>
          <w:szCs w:val="22"/>
        </w:rPr>
      </w:pPr>
      <w:r w:rsidRPr="00DF15FE">
        <w:rPr>
          <w:color w:val="000000"/>
          <w:szCs w:val="22"/>
        </w:rPr>
        <w:t> </w:t>
      </w:r>
    </w:p>
    <w:p w14:paraId="04B0F7C2" w14:textId="77777777" w:rsidR="00E770C2" w:rsidRPr="00DF15FE" w:rsidRDefault="00E770C2" w:rsidP="00E770C2">
      <w:pPr>
        <w:jc w:val="both"/>
        <w:rPr>
          <w:szCs w:val="22"/>
        </w:rPr>
      </w:pPr>
      <w:r w:rsidRPr="00DF15FE">
        <w:rPr>
          <w:color w:val="000000"/>
          <w:szCs w:val="22"/>
        </w:rPr>
        <w:t xml:space="preserve">Although detriment or unfair advantage may be only potential in opposition proceedings, a mere possibility is not sufficient for Article 8(5) EUTMR to be applicable. While the proprietor of the earlier mark is not required to demonstrate actual and present harm to its mark, it must ‘adduce prima facie evidence of a future risk, which is not hypothetical, of unfair advantage or detriment’ (06/07/2012, T-60/10, Royal Shakespeare, </w:t>
      </w:r>
      <w:proofErr w:type="gramStart"/>
      <w:r w:rsidRPr="00DF15FE">
        <w:rPr>
          <w:color w:val="000000"/>
          <w:szCs w:val="22"/>
        </w:rPr>
        <w:t>EU:T</w:t>
      </w:r>
      <w:proofErr w:type="gramEnd"/>
      <w:r w:rsidRPr="00DF15FE">
        <w:rPr>
          <w:color w:val="000000"/>
          <w:szCs w:val="22"/>
        </w:rPr>
        <w:t>:2012:348, § 53).</w:t>
      </w:r>
    </w:p>
    <w:p w14:paraId="141D8227" w14:textId="0225564C" w:rsidR="00E770C2" w:rsidRPr="00DF15FE" w:rsidRDefault="00E770C2" w:rsidP="00E770C2">
      <w:pPr>
        <w:jc w:val="both"/>
        <w:rPr>
          <w:szCs w:val="22"/>
        </w:rPr>
      </w:pPr>
      <w:r w:rsidRPr="00DF15FE">
        <w:rPr>
          <w:color w:val="000000"/>
          <w:szCs w:val="22"/>
        </w:rPr>
        <w:t> </w:t>
      </w:r>
    </w:p>
    <w:p w14:paraId="4B16E03E" w14:textId="77777777" w:rsidR="00E770C2" w:rsidRPr="00DF15FE" w:rsidRDefault="00E770C2" w:rsidP="00E770C2">
      <w:pPr>
        <w:jc w:val="both"/>
        <w:rPr>
          <w:szCs w:val="22"/>
        </w:rPr>
      </w:pPr>
      <w:r w:rsidRPr="00DF15FE">
        <w:rPr>
          <w:color w:val="000000"/>
          <w:szCs w:val="22"/>
        </w:rPr>
        <w:t xml:space="preserve">It follows that the opponent must establish that detriment or unfair advantage is probable, in the sense that it is foreseeable in the ordinary course of events. For that purpose, the opponent should file </w:t>
      </w:r>
      <w:proofErr w:type="gramStart"/>
      <w:r w:rsidRPr="00DF15FE">
        <w:rPr>
          <w:color w:val="000000"/>
          <w:szCs w:val="22"/>
        </w:rPr>
        <w:t>evidence, or</w:t>
      </w:r>
      <w:proofErr w:type="gramEnd"/>
      <w:r w:rsidRPr="00DF15FE">
        <w:rPr>
          <w:color w:val="000000"/>
          <w:szCs w:val="22"/>
        </w:rPr>
        <w:t xml:space="preserve"> at least put forward a coherent line of argument demonstrating what the detriment or unfair advantage would consist of and how it would occur, that could lead to the prima facie conclusion that such an event is indeed likely in the ordinary course of events.</w:t>
      </w:r>
    </w:p>
    <w:p w14:paraId="47A58EB4" w14:textId="712E3179" w:rsidR="00E770C2" w:rsidRPr="00DF15FE" w:rsidRDefault="00E770C2" w:rsidP="00E770C2">
      <w:pPr>
        <w:jc w:val="both"/>
        <w:rPr>
          <w:szCs w:val="22"/>
        </w:rPr>
      </w:pPr>
      <w:r w:rsidRPr="00DF15FE">
        <w:rPr>
          <w:color w:val="000000"/>
          <w:szCs w:val="22"/>
        </w:rPr>
        <w:t> </w:t>
      </w:r>
    </w:p>
    <w:p w14:paraId="3560639C" w14:textId="1C703414" w:rsidR="00E770C2" w:rsidRPr="00DF15FE" w:rsidRDefault="00E770C2" w:rsidP="00E770C2">
      <w:pPr>
        <w:jc w:val="both"/>
        <w:rPr>
          <w:szCs w:val="22"/>
        </w:rPr>
      </w:pPr>
      <w:bookmarkStart w:id="20" w:name="chk-paragraph-9-3-5-2_nodeId-1339508818"/>
      <w:r w:rsidRPr="00DF15FE">
        <w:rPr>
          <w:color w:val="000000"/>
          <w:szCs w:val="22"/>
        </w:rPr>
        <w:t>In substance, the opponent claims that d</w:t>
      </w:r>
      <w:r w:rsidRPr="00DF15FE">
        <w:rPr>
          <w:szCs w:val="22"/>
        </w:rPr>
        <w:t xml:space="preserve">ue to the long-standing use, popularity and prestige of the earlier mark, the similarities between the marks and the coincidence in the market sectors, the contested mark will bring the earlier mark to the mind of the relevant public. That way, the image of prestige, exclusivity, high quality, </w:t>
      </w:r>
      <w:r w:rsidR="00277381" w:rsidRPr="00DF15FE">
        <w:rPr>
          <w:szCs w:val="22"/>
        </w:rPr>
        <w:t xml:space="preserve">refinedness </w:t>
      </w:r>
      <w:r w:rsidRPr="00DF15FE">
        <w:rPr>
          <w:szCs w:val="22"/>
        </w:rPr>
        <w:t xml:space="preserve">and luxury of the earlier mark may be transferred to the goods </w:t>
      </w:r>
      <w:r w:rsidR="00277381" w:rsidRPr="00DF15FE">
        <w:rPr>
          <w:szCs w:val="22"/>
        </w:rPr>
        <w:t xml:space="preserve">and services bearing </w:t>
      </w:r>
      <w:r w:rsidRPr="00DF15FE">
        <w:rPr>
          <w:szCs w:val="22"/>
        </w:rPr>
        <w:t>the contested sign.</w:t>
      </w:r>
    </w:p>
    <w:p w14:paraId="4DDA37CE" w14:textId="18C361F5" w:rsidR="00E770C2" w:rsidRPr="00DF15FE" w:rsidRDefault="00E770C2" w:rsidP="00E770C2">
      <w:pPr>
        <w:jc w:val="both"/>
        <w:rPr>
          <w:szCs w:val="22"/>
        </w:rPr>
      </w:pPr>
      <w:r w:rsidRPr="00DF15FE">
        <w:rPr>
          <w:color w:val="000000"/>
          <w:szCs w:val="22"/>
        </w:rPr>
        <w:t> </w:t>
      </w:r>
    </w:p>
    <w:p w14:paraId="479BB566" w14:textId="77777777" w:rsidR="00E770C2" w:rsidRPr="00DF15FE" w:rsidRDefault="00E770C2" w:rsidP="00E770C2">
      <w:pPr>
        <w:jc w:val="both"/>
        <w:rPr>
          <w:color w:val="000000"/>
          <w:szCs w:val="22"/>
        </w:rPr>
      </w:pPr>
      <w:r w:rsidRPr="00DF15FE">
        <w:rPr>
          <w:color w:val="000000"/>
          <w:szCs w:val="22"/>
        </w:rPr>
        <w:t xml:space="preserve">In other words, the opponent claims that use of the contested </w:t>
      </w:r>
      <w:proofErr w:type="gramStart"/>
      <w:r w:rsidRPr="00DF15FE">
        <w:rPr>
          <w:color w:val="000000"/>
          <w:szCs w:val="22"/>
        </w:rPr>
        <w:t>trade mark</w:t>
      </w:r>
      <w:proofErr w:type="gramEnd"/>
      <w:r w:rsidRPr="00DF15FE">
        <w:rPr>
          <w:color w:val="000000"/>
          <w:szCs w:val="22"/>
        </w:rPr>
        <w:t xml:space="preserve"> would take unfair advantage of the distinctive character or the repute of the earlier trade mark.</w:t>
      </w:r>
    </w:p>
    <w:p w14:paraId="6BAF329F" w14:textId="77777777" w:rsidR="00314A45" w:rsidRPr="00DF15FE" w:rsidRDefault="00314A45" w:rsidP="00E770C2">
      <w:pPr>
        <w:jc w:val="both"/>
        <w:rPr>
          <w:szCs w:val="22"/>
        </w:rPr>
      </w:pPr>
    </w:p>
    <w:p w14:paraId="3B8AE28C" w14:textId="62EC732B" w:rsidR="00E770C2" w:rsidRPr="00DF15FE" w:rsidRDefault="00E770C2" w:rsidP="00E770C2">
      <w:pPr>
        <w:jc w:val="both"/>
        <w:rPr>
          <w:szCs w:val="22"/>
        </w:rPr>
      </w:pPr>
      <w:r w:rsidRPr="00DF15FE">
        <w:rPr>
          <w:color w:val="000000"/>
          <w:szCs w:val="22"/>
        </w:rPr>
        <w:t> </w:t>
      </w:r>
    </w:p>
    <w:p w14:paraId="5A21DC31" w14:textId="77777777" w:rsidR="00E770C2" w:rsidRPr="00DF15FE" w:rsidRDefault="00E770C2" w:rsidP="00E770C2">
      <w:pPr>
        <w:jc w:val="both"/>
        <w:rPr>
          <w:szCs w:val="22"/>
        </w:rPr>
      </w:pPr>
      <w:bookmarkStart w:id="21" w:name="chk-paragraph-9-3-5-3_nodeId-1212208175"/>
      <w:bookmarkEnd w:id="20"/>
      <w:r w:rsidRPr="00DF15FE">
        <w:rPr>
          <w:b/>
          <w:color w:val="000000"/>
          <w:szCs w:val="22"/>
        </w:rPr>
        <w:lastRenderedPageBreak/>
        <w:t>Unfair advantage (</w:t>
      </w:r>
      <w:proofErr w:type="gramStart"/>
      <w:r w:rsidRPr="00DF15FE">
        <w:rPr>
          <w:b/>
          <w:color w:val="000000"/>
          <w:szCs w:val="22"/>
        </w:rPr>
        <w:t>free-riding</w:t>
      </w:r>
      <w:proofErr w:type="gramEnd"/>
      <w:r w:rsidRPr="00DF15FE">
        <w:rPr>
          <w:b/>
          <w:color w:val="000000"/>
          <w:szCs w:val="22"/>
        </w:rPr>
        <w:t>)</w:t>
      </w:r>
    </w:p>
    <w:p w14:paraId="60091AA4" w14:textId="5CFD2EEB" w:rsidR="00E770C2" w:rsidRPr="00DF15FE" w:rsidRDefault="00E770C2" w:rsidP="00E770C2">
      <w:pPr>
        <w:jc w:val="both"/>
        <w:rPr>
          <w:szCs w:val="22"/>
        </w:rPr>
      </w:pPr>
      <w:r w:rsidRPr="00DF15FE">
        <w:rPr>
          <w:color w:val="000000"/>
          <w:szCs w:val="22"/>
        </w:rPr>
        <w:t> </w:t>
      </w:r>
    </w:p>
    <w:p w14:paraId="584FF36C" w14:textId="1F43E25E" w:rsidR="00E770C2" w:rsidRPr="00DF15FE" w:rsidRDefault="00E770C2" w:rsidP="00E770C2">
      <w:pPr>
        <w:jc w:val="both"/>
        <w:rPr>
          <w:szCs w:val="22"/>
        </w:rPr>
      </w:pPr>
      <w:r w:rsidRPr="00DF15FE">
        <w:rPr>
          <w:color w:val="000000"/>
          <w:szCs w:val="22"/>
        </w:rPr>
        <w:t xml:space="preserve">Unfair advantage in the context of Article 8(5) EUTMR covers cases where there is clear exploitation and ‘free-riding on the </w:t>
      </w:r>
      <w:proofErr w:type="gramStart"/>
      <w:r w:rsidRPr="00DF15FE">
        <w:rPr>
          <w:color w:val="000000"/>
          <w:szCs w:val="22"/>
        </w:rPr>
        <w:t>coat-tails</w:t>
      </w:r>
      <w:proofErr w:type="gramEnd"/>
      <w:r w:rsidRPr="00DF15FE">
        <w:rPr>
          <w:color w:val="000000"/>
          <w:szCs w:val="22"/>
        </w:rPr>
        <w:t>’ of a famous mark or an attempt to trade upon its reputation. In other words, there is a risk that the image of the mark with a reputation or the characteristics which it projects are transferred to the goods and services covered by the contested trade mark, with the result that the marketing of those goods and services is made easier by their association with the earlier mark with a reputation (06/07/2012, T-60/10, Royal Shakespeare, EU:T:2012:348, § 48; 22/03/2007, T-215/03, </w:t>
      </w:r>
      <w:proofErr w:type="spellStart"/>
      <w:r w:rsidRPr="00DF15FE">
        <w:rPr>
          <w:color w:val="000000"/>
          <w:szCs w:val="22"/>
        </w:rPr>
        <w:t>Vips</w:t>
      </w:r>
      <w:proofErr w:type="spellEnd"/>
      <w:r w:rsidRPr="00DF15FE">
        <w:rPr>
          <w:color w:val="000000"/>
          <w:szCs w:val="22"/>
        </w:rPr>
        <w:t>, EU:T:2007:93, § 40).</w:t>
      </w:r>
    </w:p>
    <w:p w14:paraId="0E3A5B04" w14:textId="36663C97" w:rsidR="00E770C2" w:rsidRPr="00DF15FE" w:rsidRDefault="00E770C2" w:rsidP="00E770C2">
      <w:pPr>
        <w:jc w:val="both"/>
        <w:rPr>
          <w:szCs w:val="22"/>
        </w:rPr>
      </w:pPr>
      <w:r w:rsidRPr="00DF15FE">
        <w:rPr>
          <w:color w:val="000000"/>
          <w:szCs w:val="22"/>
        </w:rPr>
        <w:t> </w:t>
      </w:r>
    </w:p>
    <w:p w14:paraId="6FC267B1" w14:textId="77777777" w:rsidR="00E770C2" w:rsidRPr="00DF15FE" w:rsidRDefault="00E770C2" w:rsidP="00E770C2">
      <w:pPr>
        <w:jc w:val="both"/>
        <w:rPr>
          <w:szCs w:val="22"/>
        </w:rPr>
      </w:pPr>
      <w:r w:rsidRPr="00DF15FE">
        <w:rPr>
          <w:color w:val="000000"/>
          <w:szCs w:val="22"/>
        </w:rPr>
        <w:t>The proprietor of the earlier mark bases its claim on the following:</w:t>
      </w:r>
    </w:p>
    <w:p w14:paraId="1010D6D5" w14:textId="2EC0B776" w:rsidR="00E770C2" w:rsidRPr="00DF15FE" w:rsidRDefault="00E770C2" w:rsidP="00E770C2">
      <w:pPr>
        <w:jc w:val="both"/>
        <w:rPr>
          <w:szCs w:val="22"/>
        </w:rPr>
      </w:pPr>
      <w:r w:rsidRPr="00DF15FE">
        <w:rPr>
          <w:color w:val="000000"/>
          <w:szCs w:val="22"/>
        </w:rPr>
        <w:t> </w:t>
      </w:r>
    </w:p>
    <w:p w14:paraId="710E61A6" w14:textId="5826174E"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 xml:space="preserve">The average consumer will think that the applicant’s goods </w:t>
      </w:r>
      <w:r w:rsidR="0072201F" w:rsidRPr="00DF15FE">
        <w:rPr>
          <w:color w:val="000000"/>
          <w:szCs w:val="22"/>
        </w:rPr>
        <w:t xml:space="preserve">and services </w:t>
      </w:r>
      <w:r w:rsidRPr="00DF15FE">
        <w:rPr>
          <w:color w:val="000000"/>
          <w:szCs w:val="22"/>
        </w:rPr>
        <w:t xml:space="preserve">enjoy the same positive characteristics as those under the earlier mark and will </w:t>
      </w:r>
      <w:r w:rsidR="0072201F" w:rsidRPr="00DF15FE">
        <w:rPr>
          <w:color w:val="000000"/>
          <w:szCs w:val="22"/>
        </w:rPr>
        <w:t>acquire</w:t>
      </w:r>
      <w:r w:rsidRPr="00DF15FE">
        <w:rPr>
          <w:color w:val="000000"/>
          <w:szCs w:val="22"/>
        </w:rPr>
        <w:t xml:space="preserve"> them because of that. </w:t>
      </w:r>
    </w:p>
    <w:p w14:paraId="4FC506F4" w14:textId="7E67BBA3"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 xml:space="preserve">The contested sign will receive an unfair “boost” without its owner paying any compensation. The great marketing success and prestige of the opponent’s goods and the high degree of awareness that the public has of them will result in the contested mark capturing the attention of the public, who will be consequently attracted to it and will be inclined to </w:t>
      </w:r>
      <w:r w:rsidR="009F39E1" w:rsidRPr="00DF15FE">
        <w:rPr>
          <w:color w:val="000000"/>
          <w:szCs w:val="22"/>
        </w:rPr>
        <w:t xml:space="preserve">purchase the </w:t>
      </w:r>
      <w:r w:rsidR="00862CBD" w:rsidRPr="00DF15FE">
        <w:rPr>
          <w:color w:val="000000"/>
          <w:szCs w:val="22"/>
        </w:rPr>
        <w:t xml:space="preserve">similarly branded </w:t>
      </w:r>
      <w:r w:rsidRPr="00DF15FE">
        <w:rPr>
          <w:color w:val="000000"/>
          <w:szCs w:val="22"/>
        </w:rPr>
        <w:t>goods</w:t>
      </w:r>
      <w:r w:rsidR="00862CBD" w:rsidRPr="00DF15FE">
        <w:rPr>
          <w:color w:val="000000"/>
          <w:szCs w:val="22"/>
        </w:rPr>
        <w:t xml:space="preserve"> and services</w:t>
      </w:r>
      <w:r w:rsidRPr="00DF15FE">
        <w:rPr>
          <w:color w:val="000000"/>
          <w:szCs w:val="22"/>
        </w:rPr>
        <w:t>. </w:t>
      </w:r>
    </w:p>
    <w:p w14:paraId="54A89CF9" w14:textId="6340B46E"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The applicant will obtain an undue business advantage since its goods</w:t>
      </w:r>
      <w:r w:rsidR="00314A45" w:rsidRPr="00DF15FE">
        <w:rPr>
          <w:color w:val="000000"/>
          <w:szCs w:val="22"/>
        </w:rPr>
        <w:t xml:space="preserve"> and services may </w:t>
      </w:r>
      <w:r w:rsidRPr="00DF15FE">
        <w:rPr>
          <w:color w:val="000000"/>
          <w:szCs w:val="22"/>
        </w:rPr>
        <w:t xml:space="preserve">be demanded on the market due to the association that the consumers will inevitably make with the famous mark of </w:t>
      </w:r>
      <w:r w:rsidR="009F39E1" w:rsidRPr="00DF15FE">
        <w:rPr>
          <w:color w:val="000000"/>
          <w:szCs w:val="22"/>
        </w:rPr>
        <w:t>the opponent</w:t>
      </w:r>
      <w:r w:rsidRPr="00DF15FE">
        <w:rPr>
          <w:color w:val="000000"/>
          <w:szCs w:val="22"/>
        </w:rPr>
        <w:t xml:space="preserve">, and not on their own merits. It will thus unfairly benefit from the selling power and prestige of the earlier mark. The </w:t>
      </w:r>
      <w:r w:rsidR="009F39E1" w:rsidRPr="00DF15FE">
        <w:rPr>
          <w:color w:val="000000"/>
          <w:szCs w:val="22"/>
        </w:rPr>
        <w:t>popularity</w:t>
      </w:r>
      <w:r w:rsidRPr="00DF15FE">
        <w:rPr>
          <w:color w:val="000000"/>
          <w:szCs w:val="22"/>
        </w:rPr>
        <w:t xml:space="preserve"> of the contested goods </w:t>
      </w:r>
      <w:r w:rsidR="009F39E1" w:rsidRPr="00DF15FE">
        <w:rPr>
          <w:color w:val="000000"/>
          <w:szCs w:val="22"/>
        </w:rPr>
        <w:t xml:space="preserve">and services </w:t>
      </w:r>
      <w:r w:rsidRPr="00DF15FE">
        <w:rPr>
          <w:color w:val="000000"/>
          <w:szCs w:val="22"/>
        </w:rPr>
        <w:t xml:space="preserve">may well be stimulated just because they bear a sign similar to the </w:t>
      </w:r>
      <w:proofErr w:type="gramStart"/>
      <w:r w:rsidRPr="00DF15FE">
        <w:rPr>
          <w:color w:val="000000"/>
          <w:szCs w:val="22"/>
        </w:rPr>
        <w:t>opponents’</w:t>
      </w:r>
      <w:proofErr w:type="gramEnd"/>
      <w:r w:rsidRPr="00DF15FE">
        <w:rPr>
          <w:color w:val="000000"/>
          <w:szCs w:val="22"/>
        </w:rPr>
        <w:t xml:space="preserve">. </w:t>
      </w:r>
    </w:p>
    <w:p w14:paraId="639AF098" w14:textId="77777777"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 xml:space="preserve">The applicant will benefit unfairly from the earlier </w:t>
      </w:r>
      <w:proofErr w:type="gramStart"/>
      <w:r w:rsidRPr="00DF15FE">
        <w:rPr>
          <w:color w:val="000000"/>
          <w:szCs w:val="22"/>
        </w:rPr>
        <w:t>trade mark’s</w:t>
      </w:r>
      <w:proofErr w:type="gramEnd"/>
      <w:r w:rsidRPr="00DF15FE">
        <w:rPr>
          <w:color w:val="000000"/>
          <w:szCs w:val="22"/>
        </w:rPr>
        <w:t xml:space="preserve"> reputation and the money spent on marketing and promoting it without spending money to achieve this end. </w:t>
      </w:r>
    </w:p>
    <w:p w14:paraId="4A0CE5E3" w14:textId="6F5E7324" w:rsidR="00E770C2" w:rsidRPr="00DF15FE" w:rsidRDefault="00E770C2" w:rsidP="00E770C2">
      <w:pPr>
        <w:ind w:left="960" w:hanging="360"/>
        <w:jc w:val="both"/>
        <w:rPr>
          <w:szCs w:val="22"/>
        </w:rPr>
      </w:pPr>
      <w:r w:rsidRPr="00DF15FE">
        <w:rPr>
          <w:rFonts w:ascii="Symbol" w:hAnsi="Symbol"/>
          <w:szCs w:val="22"/>
        </w:rPr>
        <w:t></w:t>
      </w:r>
      <w:r w:rsidRPr="00DF15FE">
        <w:rPr>
          <w:rFonts w:ascii="Symbol" w:hAnsi="Symbol"/>
          <w:szCs w:val="22"/>
        </w:rPr>
        <w:tab/>
      </w:r>
      <w:r w:rsidRPr="00DF15FE">
        <w:rPr>
          <w:color w:val="000000"/>
          <w:szCs w:val="22"/>
        </w:rPr>
        <w:t>Considering the similarities between the two marks, the earlier mark’s reputation</w:t>
      </w:r>
      <w:proofErr w:type="gramStart"/>
      <w:r w:rsidRPr="00DF15FE">
        <w:rPr>
          <w:color w:val="000000"/>
          <w:szCs w:val="22"/>
        </w:rPr>
        <w:t>, ,</w:t>
      </w:r>
      <w:proofErr w:type="gramEnd"/>
      <w:r w:rsidRPr="00DF15FE">
        <w:rPr>
          <w:color w:val="000000"/>
          <w:szCs w:val="22"/>
        </w:rPr>
        <w:t xml:space="preserve"> the contested sign will receive an unfair ‘boost’ as a result of being linked with the opponent’s reputed mark in the minds of the relevant consumers. The marketing of the applicant’s goods </w:t>
      </w:r>
      <w:r w:rsidR="009F39E1" w:rsidRPr="00DF15FE">
        <w:rPr>
          <w:color w:val="000000"/>
          <w:szCs w:val="22"/>
        </w:rPr>
        <w:t xml:space="preserve">and services </w:t>
      </w:r>
      <w:r w:rsidRPr="00DF15FE">
        <w:rPr>
          <w:color w:val="000000"/>
          <w:szCs w:val="22"/>
        </w:rPr>
        <w:t xml:space="preserve">will be made easier by the effort </w:t>
      </w:r>
      <w:r w:rsidR="009F39E1" w:rsidRPr="00DF15FE">
        <w:rPr>
          <w:color w:val="000000"/>
          <w:szCs w:val="22"/>
        </w:rPr>
        <w:t>the opponent</w:t>
      </w:r>
      <w:r w:rsidRPr="00DF15FE">
        <w:rPr>
          <w:color w:val="000000"/>
          <w:szCs w:val="22"/>
        </w:rPr>
        <w:t xml:space="preserve"> has already expended. Therefore, the contested sign could exploit the earlier mark’s power of </w:t>
      </w:r>
      <w:proofErr w:type="gramStart"/>
      <w:r w:rsidRPr="00DF15FE">
        <w:rPr>
          <w:color w:val="000000"/>
          <w:szCs w:val="22"/>
        </w:rPr>
        <w:t>attraction</w:t>
      </w:r>
      <w:proofErr w:type="gramEnd"/>
      <w:r w:rsidRPr="00DF15FE">
        <w:rPr>
          <w:color w:val="000000"/>
          <w:szCs w:val="22"/>
        </w:rPr>
        <w:t xml:space="preserve"> and the marketing efforts made to promote it over decades and benefit from its reputation.</w:t>
      </w:r>
    </w:p>
    <w:p w14:paraId="6BDC1A2B" w14:textId="5CACA5EA" w:rsidR="00E770C2" w:rsidRPr="00DF15FE" w:rsidRDefault="00E770C2" w:rsidP="00E770C2">
      <w:pPr>
        <w:jc w:val="both"/>
        <w:rPr>
          <w:szCs w:val="22"/>
        </w:rPr>
      </w:pPr>
      <w:r w:rsidRPr="00DF15FE">
        <w:rPr>
          <w:color w:val="000000"/>
          <w:szCs w:val="22"/>
        </w:rPr>
        <w:t> </w:t>
      </w:r>
    </w:p>
    <w:p w14:paraId="75E4C241" w14:textId="6DA71A61" w:rsidR="00E770C2" w:rsidRPr="00DF15FE" w:rsidRDefault="00E770C2" w:rsidP="00E770C2">
      <w:pPr>
        <w:jc w:val="both"/>
        <w:rPr>
          <w:szCs w:val="22"/>
        </w:rPr>
      </w:pPr>
      <w:bookmarkStart w:id="22" w:name="chk-paragraph-9-3-5-3-1_nodeId--58257838"/>
      <w:bookmarkEnd w:id="21"/>
      <w:r w:rsidRPr="00DF15FE">
        <w:rPr>
          <w:color w:val="000000"/>
          <w:szCs w:val="22"/>
        </w:rPr>
        <w:t> According to the Court of Justice of the European Union</w:t>
      </w:r>
    </w:p>
    <w:p w14:paraId="63FD2156" w14:textId="656A0059" w:rsidR="00E770C2" w:rsidRPr="00DF15FE" w:rsidRDefault="00E770C2" w:rsidP="00E770C2">
      <w:pPr>
        <w:jc w:val="both"/>
        <w:rPr>
          <w:szCs w:val="22"/>
        </w:rPr>
      </w:pPr>
      <w:r w:rsidRPr="00DF15FE">
        <w:rPr>
          <w:color w:val="000000"/>
          <w:szCs w:val="22"/>
        </w:rPr>
        <w:t> </w:t>
      </w:r>
    </w:p>
    <w:p w14:paraId="00F4C579" w14:textId="77777777" w:rsidR="00E770C2" w:rsidRPr="00DF15FE" w:rsidRDefault="00E770C2" w:rsidP="00E770C2">
      <w:pPr>
        <w:pBdr>
          <w:left w:val="none" w:sz="0" w:space="30" w:color="auto"/>
        </w:pBdr>
        <w:ind w:left="600"/>
        <w:jc w:val="both"/>
        <w:rPr>
          <w:szCs w:val="22"/>
        </w:rPr>
      </w:pPr>
      <w:r w:rsidRPr="00DF15FE">
        <w:rPr>
          <w:color w:val="000000"/>
          <w:szCs w:val="22"/>
        </w:rPr>
        <w:t>… as regards injury consisting of unfair advantage taken of the distinctive character or the repute of the earlier mark, in so far as what is prohibited is the drawing of benefit from that mark by the proprietor of the later mark, the existence of such injury must be assessed by reference to average consumers of the goods or services for which the later mark is registered, who are reasonably well informed and reasonably observant and circumspect.</w:t>
      </w:r>
    </w:p>
    <w:p w14:paraId="494875A5" w14:textId="3E3ABCBF" w:rsidR="00E770C2" w:rsidRPr="00DF15FE" w:rsidRDefault="00E770C2" w:rsidP="00E770C2">
      <w:pPr>
        <w:jc w:val="both"/>
        <w:rPr>
          <w:szCs w:val="22"/>
        </w:rPr>
      </w:pPr>
      <w:r w:rsidRPr="00DF15FE">
        <w:rPr>
          <w:color w:val="000000"/>
          <w:szCs w:val="22"/>
        </w:rPr>
        <w:t> </w:t>
      </w:r>
    </w:p>
    <w:p w14:paraId="7BD607BE" w14:textId="1A881BF7" w:rsidR="00E770C2" w:rsidRPr="00DF15FE" w:rsidRDefault="00E770C2" w:rsidP="00E770C2">
      <w:pPr>
        <w:pBdr>
          <w:left w:val="none" w:sz="0" w:space="30" w:color="auto"/>
        </w:pBdr>
        <w:ind w:left="600"/>
        <w:jc w:val="both"/>
        <w:rPr>
          <w:szCs w:val="22"/>
        </w:rPr>
      </w:pPr>
      <w:r w:rsidRPr="00DF15FE">
        <w:rPr>
          <w:color w:val="000000"/>
          <w:szCs w:val="22"/>
        </w:rPr>
        <w:t>(27/11/2008, C-252/07, Intel, EU:C:2008:655, § 36.)</w:t>
      </w:r>
    </w:p>
    <w:p w14:paraId="5CF3F04B" w14:textId="5564D68B" w:rsidR="00E770C2" w:rsidRPr="00DF15FE" w:rsidRDefault="00E770C2" w:rsidP="00E770C2">
      <w:pPr>
        <w:jc w:val="both"/>
        <w:rPr>
          <w:szCs w:val="22"/>
        </w:rPr>
      </w:pPr>
      <w:r w:rsidRPr="00DF15FE">
        <w:rPr>
          <w:color w:val="000000"/>
          <w:szCs w:val="22"/>
        </w:rPr>
        <w:t> </w:t>
      </w:r>
    </w:p>
    <w:p w14:paraId="15565938" w14:textId="7F383587" w:rsidR="00E770C2" w:rsidRPr="00DF15FE" w:rsidRDefault="00E770C2" w:rsidP="00E770C2">
      <w:pPr>
        <w:jc w:val="both"/>
        <w:rPr>
          <w:szCs w:val="22"/>
        </w:rPr>
      </w:pPr>
      <w:bookmarkStart w:id="23" w:name="chk-paragraph-9-3-5-3-3_nodeId-508910250"/>
      <w:bookmarkEnd w:id="22"/>
      <w:r w:rsidRPr="00DF15FE">
        <w:rPr>
          <w:szCs w:val="22"/>
        </w:rPr>
        <w:t xml:space="preserve">To determine whether the use of a sign takes unfair advantage of the distinctive character or the repute of the mark, it is necessary to undertake an </w:t>
      </w:r>
      <w:r w:rsidRPr="00DF15FE">
        <w:rPr>
          <w:bCs/>
          <w:szCs w:val="22"/>
        </w:rPr>
        <w:t>overall assessment</w:t>
      </w:r>
      <w:r w:rsidRPr="00DF15FE">
        <w:rPr>
          <w:szCs w:val="22"/>
        </w:rPr>
        <w:t xml:space="preserve"> that takes into account all the factors relevant to the circumstances of the case (10/05/2007, T</w:t>
      </w:r>
      <w:r w:rsidRPr="00DF15FE">
        <w:rPr>
          <w:szCs w:val="22"/>
        </w:rPr>
        <w:noBreakHyphen/>
        <w:t>47/06, Nasdaq, EU:T:2007:131, § 53; 12/03/2009, C</w:t>
      </w:r>
      <w:r w:rsidRPr="00DF15FE">
        <w:rPr>
          <w:szCs w:val="22"/>
        </w:rPr>
        <w:noBreakHyphen/>
        <w:t>320/07 P, Nasdaq, EU:C:2009:146; 23/10/2003, C</w:t>
      </w:r>
      <w:r w:rsidRPr="00DF15FE">
        <w:rPr>
          <w:szCs w:val="22"/>
        </w:rPr>
        <w:noBreakHyphen/>
        <w:t>408/01, Adidas, EU:C:2003:582, § 29, 30, 38; 27/11/2008, C</w:t>
      </w:r>
      <w:r w:rsidRPr="00DF15FE">
        <w:rPr>
          <w:szCs w:val="22"/>
        </w:rPr>
        <w:noBreakHyphen/>
        <w:t xml:space="preserve">252/07, Intel, </w:t>
      </w:r>
      <w:r w:rsidRPr="00DF15FE">
        <w:rPr>
          <w:szCs w:val="22"/>
        </w:rPr>
        <w:lastRenderedPageBreak/>
        <w:t>EU:C:2008:655, § 57, 58, 66; 24/03/2011, C</w:t>
      </w:r>
      <w:r w:rsidRPr="00DF15FE">
        <w:rPr>
          <w:szCs w:val="22"/>
        </w:rPr>
        <w:noBreakHyphen/>
        <w:t xml:space="preserve">552/09 P, </w:t>
      </w:r>
      <w:proofErr w:type="spellStart"/>
      <w:r w:rsidRPr="00DF15FE">
        <w:rPr>
          <w:szCs w:val="22"/>
        </w:rPr>
        <w:t>TiMiKinderjoghurt</w:t>
      </w:r>
      <w:proofErr w:type="spellEnd"/>
      <w:r w:rsidRPr="00DF15FE">
        <w:rPr>
          <w:szCs w:val="22"/>
        </w:rPr>
        <w:t>, EU:C:2011:177, § 53).</w:t>
      </w:r>
    </w:p>
    <w:p w14:paraId="2CA9895E" w14:textId="77777777" w:rsidR="00E770C2" w:rsidRPr="00DF15FE" w:rsidRDefault="00E770C2" w:rsidP="00E770C2">
      <w:pPr>
        <w:rPr>
          <w:szCs w:val="22"/>
        </w:rPr>
      </w:pPr>
    </w:p>
    <w:p w14:paraId="7F07B4AF" w14:textId="04C7B388" w:rsidR="00E770C2" w:rsidRPr="00DF15FE" w:rsidRDefault="00E770C2" w:rsidP="00E770C2">
      <w:pPr>
        <w:jc w:val="both"/>
        <w:rPr>
          <w:szCs w:val="22"/>
        </w:rPr>
      </w:pPr>
      <w:r w:rsidRPr="00DF15FE">
        <w:rPr>
          <w:szCs w:val="22"/>
        </w:rPr>
        <w:t>The concept of taking unfair advantage ‘concerns the risk that the image of the mark with a reputation or the characteristics that it projects are transferred to the goods covered by the mark applied for, with the result that the marketing of those goods is made easier by that association with the earlier mark with a reputation’ (19/06/2008, T</w:t>
      </w:r>
      <w:r w:rsidRPr="00DF15FE">
        <w:rPr>
          <w:szCs w:val="22"/>
        </w:rPr>
        <w:noBreakHyphen/>
        <w:t>93/06, Mineral Spa, EU:T:2008:215, § 40; 22/03/2007, T</w:t>
      </w:r>
      <w:r w:rsidRPr="00DF15FE">
        <w:rPr>
          <w:szCs w:val="22"/>
        </w:rPr>
        <w:noBreakHyphen/>
        <w:t xml:space="preserve">215/03, </w:t>
      </w:r>
      <w:proofErr w:type="spellStart"/>
      <w:r w:rsidRPr="00DF15FE">
        <w:rPr>
          <w:szCs w:val="22"/>
        </w:rPr>
        <w:t>Vips</w:t>
      </w:r>
      <w:proofErr w:type="spellEnd"/>
      <w:r w:rsidRPr="00DF15FE">
        <w:rPr>
          <w:szCs w:val="22"/>
        </w:rPr>
        <w:t>, EU:T:2007:93, § 40; 30/01/2008, T</w:t>
      </w:r>
      <w:r w:rsidRPr="00DF15FE">
        <w:rPr>
          <w:szCs w:val="22"/>
        </w:rPr>
        <w:noBreakHyphen/>
        <w:t xml:space="preserve">128/06, </w:t>
      </w:r>
      <w:proofErr w:type="spellStart"/>
      <w:r w:rsidRPr="00DF15FE">
        <w:rPr>
          <w:szCs w:val="22"/>
        </w:rPr>
        <w:t>Camelo</w:t>
      </w:r>
      <w:proofErr w:type="spellEnd"/>
      <w:r w:rsidRPr="00DF15FE">
        <w:rPr>
          <w:szCs w:val="22"/>
        </w:rPr>
        <w:t>, EU:T:2008:22, § 46).</w:t>
      </w:r>
    </w:p>
    <w:p w14:paraId="65ABA019" w14:textId="77777777" w:rsidR="00E770C2" w:rsidRPr="00DF15FE" w:rsidRDefault="00E770C2" w:rsidP="00E770C2">
      <w:pPr>
        <w:rPr>
          <w:szCs w:val="22"/>
        </w:rPr>
      </w:pPr>
    </w:p>
    <w:p w14:paraId="0429C91C" w14:textId="1E98C232" w:rsidR="00E770C2" w:rsidRPr="00DF15FE" w:rsidRDefault="00E770C2" w:rsidP="00E770C2">
      <w:pPr>
        <w:pStyle w:val="Editable"/>
        <w:rPr>
          <w:rFonts w:eastAsia="Times New Roman"/>
          <w:i/>
          <w:iCs/>
        </w:rPr>
      </w:pPr>
      <w:r w:rsidRPr="00DF15FE">
        <w:t xml:space="preserve">The earlier mark </w:t>
      </w:r>
      <w:r w:rsidRPr="00DF15FE">
        <w:rPr>
          <w:rFonts w:eastAsia="LiberationSerif"/>
          <w:lang w:eastAsia="zh-CN"/>
        </w:rPr>
        <w:t>has gained a reputation amongst the relevant public in relation to</w:t>
      </w:r>
      <w:r w:rsidRPr="00DF15FE">
        <w:rPr>
          <w:rFonts w:eastAsia="Times New Roman"/>
        </w:rPr>
        <w:t xml:space="preserve"> </w:t>
      </w:r>
      <w:r w:rsidRPr="00DF15FE">
        <w:rPr>
          <w:i/>
          <w:iCs/>
        </w:rPr>
        <w:t xml:space="preserve">perfumery products </w:t>
      </w:r>
      <w:r w:rsidRPr="00DF15FE">
        <w:t>in Class 3</w:t>
      </w:r>
      <w:r w:rsidRPr="00DF15FE">
        <w:rPr>
          <w:i/>
          <w:iCs/>
        </w:rPr>
        <w:t xml:space="preserve"> </w:t>
      </w:r>
      <w:r w:rsidRPr="00DF15FE">
        <w:t xml:space="preserve">and </w:t>
      </w:r>
      <w:r w:rsidRPr="00DF15FE">
        <w:rPr>
          <w:i/>
          <w:iCs/>
        </w:rPr>
        <w:t>clothing</w:t>
      </w:r>
      <w:r w:rsidR="00BD6588" w:rsidRPr="00DF15FE">
        <w:rPr>
          <w:i/>
          <w:iCs/>
        </w:rPr>
        <w:t xml:space="preserve"> (</w:t>
      </w:r>
      <w:r w:rsidR="00BD6588" w:rsidRPr="00DF15FE">
        <w:t>and</w:t>
      </w:r>
      <w:r w:rsidR="00BD6588" w:rsidRPr="00DF15FE">
        <w:rPr>
          <w:i/>
          <w:iCs/>
        </w:rPr>
        <w:t xml:space="preserve"> ready-made clothing)</w:t>
      </w:r>
      <w:r w:rsidRPr="00DF15FE">
        <w:rPr>
          <w:i/>
          <w:iCs/>
        </w:rPr>
        <w:t xml:space="preserve"> </w:t>
      </w:r>
      <w:r w:rsidRPr="00DF15FE">
        <w:t>in Class 25.</w:t>
      </w:r>
    </w:p>
    <w:p w14:paraId="5214EB79" w14:textId="77777777" w:rsidR="00E770C2" w:rsidRPr="00DF15FE" w:rsidRDefault="00E770C2" w:rsidP="00E770C2">
      <w:pPr>
        <w:pStyle w:val="Editable"/>
        <w:rPr>
          <w:rFonts w:eastAsia="Times New Roman"/>
          <w:i/>
          <w:iCs/>
        </w:rPr>
      </w:pPr>
    </w:p>
    <w:p w14:paraId="079A528F" w14:textId="3666D1D3" w:rsidR="00E770C2" w:rsidRPr="00DF15FE" w:rsidRDefault="00E770C2" w:rsidP="00E770C2">
      <w:pPr>
        <w:pStyle w:val="Editable"/>
        <w:rPr>
          <w:rFonts w:eastAsia="Times New Roman"/>
          <w:i/>
          <w:iCs/>
        </w:rPr>
      </w:pPr>
      <w:r w:rsidRPr="00DF15FE">
        <w:rPr>
          <w:rFonts w:eastAsia="LiberationSerif"/>
          <w:lang w:eastAsia="zh-CN"/>
        </w:rPr>
        <w:t xml:space="preserve">It has become an attractive and powerful brand at least in Spain. </w:t>
      </w:r>
      <w:r w:rsidRPr="00DF15FE">
        <w:t xml:space="preserve">Given the demonstrated  reputation of the earlier mark, the similarities between the signs and the markets the conflicting goods </w:t>
      </w:r>
      <w:r w:rsidR="00314A45" w:rsidRPr="00DF15FE">
        <w:t xml:space="preserve">and services </w:t>
      </w:r>
      <w:r w:rsidRPr="00DF15FE">
        <w:t>belong to, the relevant public may make a connection between the signs, and such an association may produce a commercial benefit for the applicant. There is a probability that the use of the contested sign indeed may lead to free-riding, that is to say, it would take unfair advantage of the well-established reputation of the earlier mark and the investments undertaken by the opponent to achieve that reputation.</w:t>
      </w:r>
    </w:p>
    <w:p w14:paraId="465DE402" w14:textId="77777777" w:rsidR="00E770C2" w:rsidRPr="00DF15FE" w:rsidRDefault="00E770C2" w:rsidP="00E770C2">
      <w:pPr>
        <w:pStyle w:val="Editable"/>
      </w:pPr>
    </w:p>
    <w:p w14:paraId="1B00F313" w14:textId="1572CFD6" w:rsidR="00E770C2" w:rsidRPr="00DF15FE" w:rsidRDefault="00E770C2" w:rsidP="00E770C2">
      <w:pPr>
        <w:pStyle w:val="Editable"/>
        <w:rPr>
          <w:rFonts w:eastAsia="Times New Roman"/>
          <w:i/>
          <w:iCs/>
        </w:rPr>
      </w:pPr>
      <w:r w:rsidRPr="00DF15FE">
        <w:t>It is concluded that the contested sign would benefit from the attractiveness of the earlier mark and the opponent’s marketing efforts. It should be pointed out that, the more similar the marks are, the more likely it is that the later mark will bring the earlier mark with a reputation to the mind of the relevant public (06/07/2012, T</w:t>
      </w:r>
      <w:r w:rsidRPr="00DF15FE">
        <w:noBreakHyphen/>
        <w:t>60/10, Royal Shakespeare, EU:T:2012:348, § 26; 27/11/2008, C</w:t>
      </w:r>
      <w:r w:rsidRPr="00DF15FE">
        <w:noBreakHyphen/>
        <w:t>252/07, Intel, EU:C:2008:655, § 44). Consequently, in the present case, it is highly probable that consumers will make a direct association between the earlier mark and the contested sign.</w:t>
      </w:r>
      <w:r w:rsidRPr="00DF15FE">
        <w:rPr>
          <w:lang w:eastAsia="en-IE"/>
        </w:rPr>
        <w:t xml:space="preserve"> The use of the trade mark applied for could also lead to the perception that the applicant is associated with or belongs to the opponent and, therefore, could facilitate the marketing of the goods </w:t>
      </w:r>
      <w:r w:rsidR="002D3C96" w:rsidRPr="00DF15FE">
        <w:rPr>
          <w:lang w:eastAsia="en-IE"/>
        </w:rPr>
        <w:t xml:space="preserve">and services </w:t>
      </w:r>
      <w:r w:rsidRPr="00DF15FE">
        <w:rPr>
          <w:lang w:eastAsia="en-IE"/>
        </w:rPr>
        <w:t>for which registration is sought.</w:t>
      </w:r>
    </w:p>
    <w:p w14:paraId="0E79EB49" w14:textId="77777777" w:rsidR="00E770C2" w:rsidRPr="00DF15FE" w:rsidRDefault="00E770C2" w:rsidP="00E770C2">
      <w:pPr>
        <w:autoSpaceDE w:val="0"/>
        <w:autoSpaceDN w:val="0"/>
        <w:adjustRightInd w:val="0"/>
        <w:jc w:val="both"/>
        <w:rPr>
          <w:szCs w:val="22"/>
          <w:lang w:eastAsia="en-IE"/>
        </w:rPr>
      </w:pPr>
    </w:p>
    <w:p w14:paraId="7643F8A7" w14:textId="77777777" w:rsidR="00E770C2" w:rsidRPr="00DF15FE" w:rsidRDefault="00E770C2" w:rsidP="00E770C2">
      <w:pPr>
        <w:autoSpaceDE w:val="0"/>
        <w:autoSpaceDN w:val="0"/>
        <w:adjustRightInd w:val="0"/>
        <w:jc w:val="both"/>
        <w:rPr>
          <w:szCs w:val="22"/>
        </w:rPr>
      </w:pPr>
      <w:r w:rsidRPr="00DF15FE">
        <w:rPr>
          <w:szCs w:val="22"/>
        </w:rPr>
        <w:t xml:space="preserve">On the basis of the above, the Opposition Division concludes that the contested </w:t>
      </w:r>
      <w:proofErr w:type="gramStart"/>
      <w:r w:rsidRPr="00DF15FE">
        <w:rPr>
          <w:szCs w:val="22"/>
        </w:rPr>
        <w:t>trade mark</w:t>
      </w:r>
      <w:proofErr w:type="gramEnd"/>
      <w:r w:rsidRPr="00DF15FE">
        <w:rPr>
          <w:szCs w:val="22"/>
        </w:rPr>
        <w:t xml:space="preserve"> is likely to take unfair advantage of the distinctive character or the repute of the earlier trade mark.</w:t>
      </w:r>
    </w:p>
    <w:p w14:paraId="28A71428" w14:textId="77777777" w:rsidR="00E770C2" w:rsidRPr="00DF15FE" w:rsidRDefault="00E770C2" w:rsidP="00E770C2">
      <w:pPr>
        <w:autoSpaceDE w:val="0"/>
        <w:autoSpaceDN w:val="0"/>
        <w:adjustRightInd w:val="0"/>
        <w:jc w:val="both"/>
        <w:rPr>
          <w:szCs w:val="22"/>
          <w:lang w:eastAsia="en-IE"/>
        </w:rPr>
      </w:pPr>
    </w:p>
    <w:p w14:paraId="470F5FAA" w14:textId="77777777" w:rsidR="00314A45" w:rsidRPr="00DF15FE" w:rsidRDefault="00314A45" w:rsidP="00E770C2">
      <w:pPr>
        <w:autoSpaceDE w:val="0"/>
        <w:autoSpaceDN w:val="0"/>
        <w:adjustRightInd w:val="0"/>
        <w:jc w:val="both"/>
        <w:rPr>
          <w:szCs w:val="22"/>
          <w:lang w:eastAsia="en-IE"/>
        </w:rPr>
      </w:pPr>
    </w:p>
    <w:bookmarkEnd w:id="23"/>
    <w:p w14:paraId="4EF03747" w14:textId="77777777" w:rsidR="00CF0403" w:rsidRPr="00DF15FE" w:rsidRDefault="00846F82">
      <w:pPr>
        <w:spacing w:after="160" w:line="257" w:lineRule="auto"/>
      </w:pPr>
      <w:r w:rsidRPr="00DF15FE">
        <w:rPr>
          <w:b/>
          <w:color w:val="000000"/>
        </w:rPr>
        <w:t>f) Conclusion</w:t>
      </w:r>
    </w:p>
    <w:p w14:paraId="17DB9A5B" w14:textId="57651C19" w:rsidR="0026131B" w:rsidRPr="00DF15FE" w:rsidRDefault="0026131B" w:rsidP="0026131B">
      <w:pPr>
        <w:jc w:val="both"/>
        <w:rPr>
          <w:szCs w:val="22"/>
        </w:rPr>
      </w:pPr>
      <w:bookmarkStart w:id="24" w:name="chk-paragraph-10-3-7-1_nodeId-690560875"/>
      <w:bookmarkEnd w:id="19"/>
      <w:r w:rsidRPr="00DF15FE">
        <w:rPr>
          <w:color w:val="000000"/>
          <w:szCs w:val="22"/>
        </w:rPr>
        <w:t xml:space="preserve">Considering all the above, the opposition is well founded under Article 8(5) EUTMR. Therefore, the contested </w:t>
      </w:r>
      <w:proofErr w:type="gramStart"/>
      <w:r w:rsidRPr="00DF15FE">
        <w:rPr>
          <w:color w:val="000000"/>
          <w:szCs w:val="22"/>
        </w:rPr>
        <w:t>trade mark</w:t>
      </w:r>
      <w:proofErr w:type="gramEnd"/>
      <w:r w:rsidRPr="00DF15FE">
        <w:rPr>
          <w:color w:val="000000"/>
          <w:szCs w:val="22"/>
        </w:rPr>
        <w:t xml:space="preserve"> must be rejected for all the contested goods and services.</w:t>
      </w:r>
    </w:p>
    <w:p w14:paraId="5EBD58CB" w14:textId="106031B1" w:rsidR="0026131B" w:rsidRPr="00DF15FE" w:rsidRDefault="0026131B" w:rsidP="0026131B">
      <w:pPr>
        <w:jc w:val="both"/>
        <w:rPr>
          <w:color w:val="000000"/>
          <w:szCs w:val="22"/>
        </w:rPr>
      </w:pPr>
      <w:r w:rsidRPr="00DF15FE">
        <w:rPr>
          <w:color w:val="000000"/>
        </w:rPr>
        <w:t xml:space="preserve"> </w:t>
      </w:r>
      <w:r w:rsidRPr="00DF15FE">
        <w:br/>
      </w:r>
      <w:r w:rsidRPr="00DF15FE">
        <w:rPr>
          <w:color w:val="000000"/>
          <w:szCs w:val="22"/>
        </w:rPr>
        <w:t>Given that the opposition is entirely successful under Article 8(5) EUTMR, it is not necessary to examine the remaining ground on which the opposition was based nor to assess opponent’s claim of reputation in relation to the remaining goods and/or the evidence of use in relation to the remaining goods on which the opposition was based.</w:t>
      </w:r>
    </w:p>
    <w:p w14:paraId="6BA606B5" w14:textId="77777777" w:rsidR="00CF0403" w:rsidRPr="00DF15FE" w:rsidRDefault="00846F82" w:rsidP="00314A45">
      <w:pPr>
        <w:jc w:val="both"/>
      </w:pPr>
      <w:bookmarkStart w:id="25" w:name="chk-paragraph-14_nodeId-1960858865"/>
      <w:bookmarkEnd w:id="24"/>
      <w:r w:rsidRPr="00DF15FE">
        <w:rPr>
          <w:color w:val="000000"/>
        </w:rPr>
        <w:t xml:space="preserve">   </w:t>
      </w:r>
      <w:r w:rsidRPr="00DF15FE">
        <w:br/>
      </w:r>
      <w:r w:rsidRPr="00DF15FE">
        <w:rPr>
          <w:color w:val="000000"/>
        </w:rPr>
        <w:t xml:space="preserve">  </w:t>
      </w:r>
    </w:p>
    <w:p w14:paraId="5B5C3681" w14:textId="77777777" w:rsidR="00CF0403" w:rsidRPr="00DF15FE" w:rsidRDefault="00846F82">
      <w:pPr>
        <w:jc w:val="both"/>
      </w:pPr>
      <w:bookmarkStart w:id="26" w:name="chk-paragraph-14-1_nodeId--474726698"/>
      <w:bookmarkEnd w:id="25"/>
      <w:r w:rsidRPr="00DF15FE">
        <w:rPr>
          <w:b/>
          <w:color w:val="000000"/>
        </w:rPr>
        <w:t>COSTS</w:t>
      </w:r>
    </w:p>
    <w:p w14:paraId="7BA3CA4D" w14:textId="2AED29C0" w:rsidR="00CF0403" w:rsidRPr="00DF15FE" w:rsidRDefault="00846F82">
      <w:pPr>
        <w:jc w:val="both"/>
      </w:pPr>
      <w:r w:rsidRPr="00DF15FE">
        <w:rPr>
          <w:color w:val="000000"/>
        </w:rPr>
        <w:t> </w:t>
      </w:r>
    </w:p>
    <w:p w14:paraId="5594EB33" w14:textId="06260B42" w:rsidR="00CF0403" w:rsidRPr="00DF15FE" w:rsidRDefault="00846F82">
      <w:pPr>
        <w:jc w:val="both"/>
      </w:pPr>
      <w:r w:rsidRPr="00DF15FE">
        <w:rPr>
          <w:color w:val="000000"/>
        </w:rPr>
        <w:t>According to Article 109(1) EUTMR, the losing party in opposition proceedings must bear the fees and costs incurred by the other party.</w:t>
      </w:r>
    </w:p>
    <w:p w14:paraId="4D0FEDDA" w14:textId="6E94D0F6" w:rsidR="00CF0403" w:rsidRPr="00DF15FE" w:rsidRDefault="00846F82">
      <w:pPr>
        <w:jc w:val="both"/>
      </w:pPr>
      <w:r w:rsidRPr="00DF15FE">
        <w:rPr>
          <w:color w:val="000000"/>
        </w:rPr>
        <w:t> </w:t>
      </w:r>
    </w:p>
    <w:p w14:paraId="7724945E" w14:textId="77777777" w:rsidR="00CF0403" w:rsidRPr="00DF15FE" w:rsidRDefault="00846F82">
      <w:pPr>
        <w:jc w:val="both"/>
      </w:pPr>
      <w:r w:rsidRPr="00DF15FE">
        <w:rPr>
          <w:color w:val="000000"/>
        </w:rPr>
        <w:t xml:space="preserve">Since the applicant is the losing party, it must bear the opposition fee as well as the costs incurred by the opponent </w:t>
      </w:r>
      <w:proofErr w:type="gramStart"/>
      <w:r w:rsidRPr="00DF15FE">
        <w:rPr>
          <w:color w:val="000000"/>
        </w:rPr>
        <w:t>in the course of</w:t>
      </w:r>
      <w:proofErr w:type="gramEnd"/>
      <w:r w:rsidRPr="00DF15FE">
        <w:rPr>
          <w:color w:val="000000"/>
        </w:rPr>
        <w:t xml:space="preserve"> these proceedings.</w:t>
      </w:r>
    </w:p>
    <w:p w14:paraId="515CC1A0" w14:textId="41C05F72" w:rsidR="00CF0403" w:rsidRPr="00DF15FE" w:rsidRDefault="00846F82">
      <w:pPr>
        <w:jc w:val="both"/>
      </w:pPr>
      <w:r w:rsidRPr="00DF15FE">
        <w:rPr>
          <w:color w:val="000000"/>
        </w:rPr>
        <w:t> </w:t>
      </w:r>
    </w:p>
    <w:p w14:paraId="6E7CEB1E" w14:textId="23EABAC3" w:rsidR="00CF0403" w:rsidRPr="00DF15FE" w:rsidRDefault="00846F82">
      <w:pPr>
        <w:jc w:val="both"/>
      </w:pPr>
      <w:bookmarkStart w:id="27" w:name="chk-paragraph-14-1-1_nodeId--1175928364"/>
      <w:bookmarkEnd w:id="26"/>
      <w:r w:rsidRPr="00DF15FE">
        <w:rPr>
          <w:color w:val="000000"/>
        </w:rPr>
        <w:lastRenderedPageBreak/>
        <w:t>According to Article 109(1) and (7) EUTMR and Article 18(1)(c)(</w:t>
      </w:r>
      <w:proofErr w:type="spellStart"/>
      <w:r w:rsidRPr="00DF15FE">
        <w:rPr>
          <w:color w:val="000000"/>
        </w:rPr>
        <w:t>i</w:t>
      </w:r>
      <w:proofErr w:type="spellEnd"/>
      <w:r w:rsidRPr="00DF15FE">
        <w:rPr>
          <w:color w:val="000000"/>
        </w:rPr>
        <w:t xml:space="preserve">) EUTMIR, the costs to be paid to the opponent are the opposition fee and the costs of representation, which are to be fixed </w:t>
      </w:r>
      <w:proofErr w:type="gramStart"/>
      <w:r w:rsidRPr="00DF15FE">
        <w:rPr>
          <w:color w:val="000000"/>
        </w:rPr>
        <w:t>on the basis of</w:t>
      </w:r>
      <w:proofErr w:type="gramEnd"/>
      <w:r w:rsidRPr="00DF15FE">
        <w:rPr>
          <w:color w:val="000000"/>
        </w:rPr>
        <w:t xml:space="preserve"> the maximum rate set therein.</w:t>
      </w:r>
    </w:p>
    <w:p w14:paraId="4954CF7D" w14:textId="78444C39" w:rsidR="00CF0403" w:rsidRPr="00DF15FE" w:rsidRDefault="00846F82">
      <w:pPr>
        <w:jc w:val="both"/>
      </w:pPr>
      <w:r w:rsidRPr="00DF15FE">
        <w:rPr>
          <w:color w:val="000000"/>
        </w:rPr>
        <w:t> </w:t>
      </w:r>
    </w:p>
    <w:p w14:paraId="55A8D656" w14:textId="77777777" w:rsidR="00CF0403" w:rsidRPr="00DF15FE" w:rsidRDefault="00846F82">
      <w:pPr>
        <w:jc w:val="center"/>
      </w:pPr>
      <w:bookmarkStart w:id="28" w:name="rId8"/>
      <w:bookmarkStart w:id="29" w:name="chk-paragraph-15_nodeId-1949981362"/>
      <w:bookmarkEnd w:id="27"/>
      <w:r w:rsidRPr="00DF15FE">
        <w:rPr>
          <w:noProof/>
        </w:rPr>
        <w:drawing>
          <wp:inline distT="0" distB="0" distL="0" distR="0" wp14:anchorId="51BA61AB" wp14:editId="7641C5B8">
            <wp:extent cx="619125"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125" cy="628650"/>
                    </a:xfrm>
                    <a:prstGeom prst="rect">
                      <a:avLst/>
                    </a:prstGeom>
                  </pic:spPr>
                </pic:pic>
              </a:graphicData>
            </a:graphic>
          </wp:inline>
        </w:drawing>
      </w:r>
      <w:bookmarkEnd w:id="28"/>
    </w:p>
    <w:p w14:paraId="4933789C" w14:textId="3023E272" w:rsidR="00CF0403" w:rsidRPr="00DF15FE" w:rsidRDefault="00846F82">
      <w:pPr>
        <w:jc w:val="both"/>
      </w:pPr>
      <w:r w:rsidRPr="00DF15FE">
        <w:rPr>
          <w:color w:val="000000"/>
        </w:rPr>
        <w:t> </w:t>
      </w:r>
    </w:p>
    <w:p w14:paraId="56A6CA91" w14:textId="4F570A32" w:rsidR="00CF0403" w:rsidRPr="00DF15FE" w:rsidRDefault="00846F82">
      <w:pPr>
        <w:jc w:val="both"/>
      </w:pPr>
      <w:r w:rsidRPr="00DF15FE">
        <w:rPr>
          <w:color w:val="000000"/>
        </w:rPr>
        <w:t> </w:t>
      </w:r>
    </w:p>
    <w:p w14:paraId="57B60AF8" w14:textId="77777777" w:rsidR="00CF0403" w:rsidRPr="00DF15FE" w:rsidRDefault="00846F82">
      <w:pPr>
        <w:jc w:val="center"/>
      </w:pPr>
      <w:r w:rsidRPr="00DF15FE">
        <w:rPr>
          <w:b/>
          <w:color w:val="000000"/>
        </w:rPr>
        <w:t>The Opposition Division</w:t>
      </w:r>
    </w:p>
    <w:p w14:paraId="7DCFB451" w14:textId="7DBAA1AF" w:rsidR="00CF0403" w:rsidRPr="00DF15FE" w:rsidRDefault="00846F82">
      <w:pPr>
        <w:jc w:val="both"/>
      </w:pPr>
      <w:r w:rsidRPr="00DF15FE">
        <w:rPr>
          <w:color w:val="000000"/>
        </w:rPr>
        <w:t> </w:t>
      </w:r>
    </w:p>
    <w:p w14:paraId="24457AAB" w14:textId="673DA4F5" w:rsidR="00CF0403" w:rsidRPr="00DF15FE" w:rsidRDefault="00846F82">
      <w:pPr>
        <w:jc w:val="both"/>
      </w:pPr>
      <w:r w:rsidRPr="00DF15FE">
        <w:rPr>
          <w:color w:val="000000"/>
        </w:rPr>
        <w:t> </w:t>
      </w:r>
    </w:p>
    <w:tbl>
      <w:tblPr>
        <w:tblW w:w="0" w:type="auto"/>
        <w:tblCellSpacing w:w="0" w:type="auto"/>
        <w:tblLook w:val="04A0" w:firstRow="1" w:lastRow="0" w:firstColumn="1" w:lastColumn="0" w:noHBand="0" w:noVBand="1"/>
      </w:tblPr>
      <w:tblGrid>
        <w:gridCol w:w="3060"/>
        <w:gridCol w:w="2905"/>
        <w:gridCol w:w="3062"/>
      </w:tblGrid>
      <w:tr w:rsidR="00DA1BAD" w:rsidRPr="00DF15FE" w14:paraId="49822BF3" w14:textId="77777777" w:rsidTr="00DA1BAD">
        <w:trPr>
          <w:trHeight w:val="30"/>
          <w:tblCellSpacing w:w="0" w:type="auto"/>
        </w:trPr>
        <w:tc>
          <w:tcPr>
            <w:tcW w:w="3060" w:type="dxa"/>
            <w:tcMar>
              <w:top w:w="15" w:type="dxa"/>
              <w:left w:w="15" w:type="dxa"/>
              <w:bottom w:w="15" w:type="dxa"/>
              <w:right w:w="15" w:type="dxa"/>
            </w:tcMar>
            <w:vAlign w:val="center"/>
          </w:tcPr>
          <w:p w14:paraId="761D17F0" w14:textId="583EA912" w:rsidR="00DA1BAD" w:rsidRPr="00DF15FE" w:rsidRDefault="00DA1BAD" w:rsidP="00DA1BAD">
            <w:pPr>
              <w:ind w:left="15"/>
              <w:jc w:val="center"/>
            </w:pPr>
            <w:bookmarkStart w:id="30" w:name="docx4j_tbl_0"/>
            <w:r w:rsidRPr="00DF15FE">
              <w:rPr>
                <w:color w:val="000000"/>
              </w:rPr>
              <w:t xml:space="preserve">Francesca CANGERI </w:t>
            </w:r>
          </w:p>
        </w:tc>
        <w:tc>
          <w:tcPr>
            <w:tcW w:w="2905" w:type="dxa"/>
            <w:tcMar>
              <w:top w:w="15" w:type="dxa"/>
              <w:left w:w="15" w:type="dxa"/>
              <w:bottom w:w="15" w:type="dxa"/>
              <w:right w:w="15" w:type="dxa"/>
            </w:tcMar>
            <w:vAlign w:val="center"/>
          </w:tcPr>
          <w:p w14:paraId="61670913" w14:textId="77777777" w:rsidR="00DA1BAD" w:rsidRPr="00DF15FE" w:rsidRDefault="00DA1BAD" w:rsidP="00DA1BAD">
            <w:pPr>
              <w:ind w:left="15"/>
              <w:jc w:val="center"/>
              <w:rPr>
                <w:color w:val="000000"/>
                <w:lang w:val="nl-NL"/>
              </w:rPr>
            </w:pPr>
            <w:r w:rsidRPr="00DF15FE">
              <w:rPr>
                <w:color w:val="000000"/>
                <w:lang w:val="nl-NL"/>
              </w:rPr>
              <w:t>Edith Elisabeth</w:t>
            </w:r>
          </w:p>
          <w:p w14:paraId="552C4A72" w14:textId="48D3F618" w:rsidR="00DA1BAD" w:rsidRPr="00DF15FE" w:rsidRDefault="00DA1BAD" w:rsidP="00DA1BAD">
            <w:pPr>
              <w:ind w:left="15"/>
              <w:jc w:val="center"/>
              <w:rPr>
                <w:lang w:val="nl-NL"/>
              </w:rPr>
            </w:pPr>
            <w:r w:rsidRPr="00DF15FE">
              <w:rPr>
                <w:color w:val="000000"/>
                <w:lang w:val="nl-NL"/>
              </w:rPr>
              <w:t>VAN DEN EEDE</w:t>
            </w:r>
          </w:p>
        </w:tc>
        <w:tc>
          <w:tcPr>
            <w:tcW w:w="3062" w:type="dxa"/>
            <w:tcMar>
              <w:top w:w="15" w:type="dxa"/>
              <w:left w:w="15" w:type="dxa"/>
              <w:bottom w:w="15" w:type="dxa"/>
              <w:right w:w="15" w:type="dxa"/>
            </w:tcMar>
            <w:vAlign w:val="center"/>
          </w:tcPr>
          <w:p w14:paraId="31EC18DA" w14:textId="14DE3D76" w:rsidR="00DA1BAD" w:rsidRPr="00DF15FE" w:rsidRDefault="00DA1BAD" w:rsidP="00DA1BAD">
            <w:pPr>
              <w:ind w:left="15"/>
              <w:jc w:val="center"/>
            </w:pPr>
            <w:proofErr w:type="spellStart"/>
            <w:r w:rsidRPr="00DF15FE">
              <w:rPr>
                <w:color w:val="000000"/>
              </w:rPr>
              <w:t>Erkki</w:t>
            </w:r>
            <w:proofErr w:type="spellEnd"/>
            <w:r w:rsidRPr="00DF15FE">
              <w:rPr>
                <w:color w:val="000000"/>
              </w:rPr>
              <w:t xml:space="preserve"> MÜNTER</w:t>
            </w:r>
          </w:p>
        </w:tc>
      </w:tr>
    </w:tbl>
    <w:bookmarkEnd w:id="30"/>
    <w:p w14:paraId="21DCF16E" w14:textId="460AF880" w:rsidR="00CF0403" w:rsidRPr="00DF15FE" w:rsidRDefault="00846F82">
      <w:pPr>
        <w:jc w:val="both"/>
      </w:pPr>
      <w:r w:rsidRPr="00DF15FE">
        <w:rPr>
          <w:color w:val="000000"/>
        </w:rPr>
        <w:t> </w:t>
      </w:r>
    </w:p>
    <w:p w14:paraId="3426CEDF" w14:textId="77777777" w:rsidR="00CF0403" w:rsidRPr="00DF15FE" w:rsidRDefault="00CF0403">
      <w:pPr>
        <w:spacing w:before="269" w:after="269"/>
      </w:pPr>
    </w:p>
    <w:p w14:paraId="4FDB068B" w14:textId="5878E611" w:rsidR="00CF0403" w:rsidRPr="00DF15FE" w:rsidRDefault="00846F82">
      <w:pPr>
        <w:jc w:val="both"/>
      </w:pPr>
      <w:r w:rsidRPr="00DF15FE">
        <w:rPr>
          <w:color w:val="000000"/>
        </w:rPr>
        <w:t> </w:t>
      </w:r>
    </w:p>
    <w:p w14:paraId="2096F1EB" w14:textId="77777777" w:rsidR="00CF0403" w:rsidRPr="00DF15FE" w:rsidRDefault="00846F82">
      <w:pPr>
        <w:spacing w:after="269"/>
      </w:pPr>
      <w:r w:rsidRPr="00DF15FE">
        <w:br/>
      </w:r>
    </w:p>
    <w:p w14:paraId="59CB7BAB" w14:textId="77777777" w:rsidR="00CF0403" w:rsidRPr="00DF15FE" w:rsidRDefault="00846F82">
      <w:pPr>
        <w:spacing w:after="269"/>
      </w:pPr>
      <w:bookmarkStart w:id="31" w:name="chk-paragraph-17_nodeId-1939635670"/>
      <w:bookmarkEnd w:id="29"/>
      <w:r w:rsidRPr="00DF15FE">
        <w:br/>
      </w:r>
    </w:p>
    <w:p w14:paraId="580E8CF4" w14:textId="77777777" w:rsidR="00DF15FE" w:rsidRPr="00DF15FE" w:rsidRDefault="00846F82">
      <w:pPr>
        <w:spacing w:after="269"/>
        <w:jc w:val="both"/>
        <w:rPr>
          <w:color w:val="000000"/>
        </w:rPr>
      </w:pPr>
      <w:r w:rsidRPr="00DF15FE">
        <w:rPr>
          <w:color w:val="000000"/>
        </w:rPr>
        <w:t>According to Article 67 EUTMR, any party adversely affected by this decision has a right to appeal against this decision. According to Article 68 EUTMR, notice of appeal must be filed in writing at the Office within two months of the date of notification of this decision. It must be filed in the language of the proceedings in which the decision subject to appeal was taken. Furthermore, a written statement of the grounds for appeal must be filed within four months of the same date. The notice of appeal will be deemed to have been filed only when the appeal fee of EUR 720 has been paid.</w:t>
      </w:r>
      <w:bookmarkEnd w:id="31"/>
    </w:p>
    <w:sectPr w:rsidR="00DF15FE" w:rsidRPr="00DF15FE">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87394" w14:textId="77777777" w:rsidR="009206F7" w:rsidRDefault="009206F7">
      <w:r>
        <w:separator/>
      </w:r>
    </w:p>
  </w:endnote>
  <w:endnote w:type="continuationSeparator" w:id="0">
    <w:p w14:paraId="0ED39658" w14:textId="77777777" w:rsidR="009206F7" w:rsidRDefault="0092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Serif">
    <w:altName w:val="MS Mincho"/>
    <w:panose1 w:val="020B0604020202020204"/>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55588" w14:textId="77777777" w:rsidR="00DF15FE" w:rsidRDefault="00DF15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91D9" w14:textId="77777777" w:rsidR="00DF15FE" w:rsidRDefault="00DF15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8DD9" w14:textId="77777777" w:rsidR="00DF15FE" w:rsidRDefault="00DF15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6D40" w14:textId="77777777" w:rsidR="009206F7" w:rsidRDefault="009206F7">
      <w:r>
        <w:separator/>
      </w:r>
    </w:p>
  </w:footnote>
  <w:footnote w:type="continuationSeparator" w:id="0">
    <w:p w14:paraId="52245D3B" w14:textId="77777777" w:rsidR="009206F7" w:rsidRDefault="0092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7D12" w14:textId="77777777" w:rsidR="00DF15FE" w:rsidRDefault="00DF15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811D" w14:textId="77777777" w:rsidR="00CF0403" w:rsidRDefault="00846F82">
    <w:pPr>
      <w:pBdr>
        <w:bottom w:val="single" w:sz="6" w:space="1" w:color="595959"/>
      </w:pBdr>
      <w:tabs>
        <w:tab w:val="right" w:pos="9000"/>
      </w:tabs>
    </w:pPr>
    <w:r>
      <w:t xml:space="preserve">Decision on Opposition No </w:t>
    </w:r>
    <w:r>
      <w:rPr>
        <w:b/>
        <w:bCs/>
      </w:rPr>
      <w:t>B 3 199 598</w:t>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674A" w14:textId="77777777" w:rsidR="00CF0403" w:rsidRDefault="00846F82">
    <w:r>
      <w:rPr>
        <w:noProof/>
      </w:rPr>
      <w:drawing>
        <wp:inline distT="0" distB="0" distL="0" distR="0" wp14:anchorId="6F1C08ED" wp14:editId="218F6A21">
          <wp:extent cx="1587500" cy="432448"/>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432448"/>
                  </a:xfrm>
                  <a:prstGeom prst="rect">
                    <a:avLst/>
                  </a:prstGeom>
                </pic:spPr>
              </pic:pic>
            </a:graphicData>
          </a:graphic>
        </wp:inline>
      </w:drawing>
    </w:r>
  </w:p>
  <w:p w14:paraId="4E275308" w14:textId="77777777" w:rsidR="00CF0403" w:rsidRDefault="00846F82">
    <w:pPr>
      <w:pBdr>
        <w:bottom w:val="single" w:sz="6" w:space="1" w:color="595959"/>
      </w:pBdr>
      <w:jc w:val="right"/>
    </w:pPr>
    <w:r>
      <w:rPr>
        <w:color w:val="595959"/>
        <w:sz w:val="18"/>
      </w:rPr>
      <w:t>OPPOSITION DIVISION</w:t>
    </w:r>
  </w:p>
  <w:p w14:paraId="55A928E1" w14:textId="77777777" w:rsidR="00CF0403" w:rsidRDefault="00CF0403">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790F7B"/>
    <w:multiLevelType w:val="multilevel"/>
    <w:tmpl w:val="14F0B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565689"/>
    <w:multiLevelType w:val="multilevel"/>
    <w:tmpl w:val="2C4A8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2764948">
    <w:abstractNumId w:val="3"/>
  </w:num>
  <w:num w:numId="2" w16cid:durableId="1335917558">
    <w:abstractNumId w:val="0"/>
  </w:num>
  <w:num w:numId="3" w16cid:durableId="1978031100">
    <w:abstractNumId w:val="2"/>
  </w:num>
  <w:num w:numId="4" w16cid:durableId="22553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03"/>
    <w:rsid w:val="00022EB1"/>
    <w:rsid w:val="000377DA"/>
    <w:rsid w:val="000853AB"/>
    <w:rsid w:val="0008787D"/>
    <w:rsid w:val="00094239"/>
    <w:rsid w:val="000B2FF6"/>
    <w:rsid w:val="00150A1E"/>
    <w:rsid w:val="001549BC"/>
    <w:rsid w:val="00177A34"/>
    <w:rsid w:val="00182CAC"/>
    <w:rsid w:val="001E6C45"/>
    <w:rsid w:val="00252F6E"/>
    <w:rsid w:val="0026131B"/>
    <w:rsid w:val="0026617C"/>
    <w:rsid w:val="00273702"/>
    <w:rsid w:val="00273F2A"/>
    <w:rsid w:val="00277381"/>
    <w:rsid w:val="002A6E41"/>
    <w:rsid w:val="002B6936"/>
    <w:rsid w:val="002D094B"/>
    <w:rsid w:val="002D338B"/>
    <w:rsid w:val="002D3C96"/>
    <w:rsid w:val="002F0A40"/>
    <w:rsid w:val="00314A45"/>
    <w:rsid w:val="00346486"/>
    <w:rsid w:val="003B2D23"/>
    <w:rsid w:val="003E55BC"/>
    <w:rsid w:val="003F60CE"/>
    <w:rsid w:val="004138F7"/>
    <w:rsid w:val="00427BB3"/>
    <w:rsid w:val="00491A49"/>
    <w:rsid w:val="004B580B"/>
    <w:rsid w:val="004E31D3"/>
    <w:rsid w:val="0050066C"/>
    <w:rsid w:val="00533512"/>
    <w:rsid w:val="005346EA"/>
    <w:rsid w:val="00543A60"/>
    <w:rsid w:val="00583FC2"/>
    <w:rsid w:val="00584F5A"/>
    <w:rsid w:val="005A3AF4"/>
    <w:rsid w:val="005B1B4B"/>
    <w:rsid w:val="005D29FE"/>
    <w:rsid w:val="005D4B62"/>
    <w:rsid w:val="005F1192"/>
    <w:rsid w:val="005F6F75"/>
    <w:rsid w:val="00623B8E"/>
    <w:rsid w:val="00631240"/>
    <w:rsid w:val="00657C1B"/>
    <w:rsid w:val="006C6C0B"/>
    <w:rsid w:val="0072201F"/>
    <w:rsid w:val="007931F8"/>
    <w:rsid w:val="00797FE3"/>
    <w:rsid w:val="007C0059"/>
    <w:rsid w:val="00800D25"/>
    <w:rsid w:val="00846F82"/>
    <w:rsid w:val="00862CBD"/>
    <w:rsid w:val="008717E6"/>
    <w:rsid w:val="00874B48"/>
    <w:rsid w:val="00894B79"/>
    <w:rsid w:val="00910B34"/>
    <w:rsid w:val="009206F7"/>
    <w:rsid w:val="00964321"/>
    <w:rsid w:val="009706F2"/>
    <w:rsid w:val="009B4F41"/>
    <w:rsid w:val="009E1CD5"/>
    <w:rsid w:val="009E4AEE"/>
    <w:rsid w:val="009F39E1"/>
    <w:rsid w:val="00A577F3"/>
    <w:rsid w:val="00A9003B"/>
    <w:rsid w:val="00A96DB1"/>
    <w:rsid w:val="00A97D6C"/>
    <w:rsid w:val="00AD1DEE"/>
    <w:rsid w:val="00B85C44"/>
    <w:rsid w:val="00B874C1"/>
    <w:rsid w:val="00BD560F"/>
    <w:rsid w:val="00BD6588"/>
    <w:rsid w:val="00C018A8"/>
    <w:rsid w:val="00C10D14"/>
    <w:rsid w:val="00C44700"/>
    <w:rsid w:val="00C65744"/>
    <w:rsid w:val="00C901C6"/>
    <w:rsid w:val="00CB79E9"/>
    <w:rsid w:val="00CE0E22"/>
    <w:rsid w:val="00CE5B10"/>
    <w:rsid w:val="00CF0403"/>
    <w:rsid w:val="00D840C7"/>
    <w:rsid w:val="00DA1BAD"/>
    <w:rsid w:val="00DD2BE6"/>
    <w:rsid w:val="00DE47C3"/>
    <w:rsid w:val="00DF15FE"/>
    <w:rsid w:val="00E167CA"/>
    <w:rsid w:val="00E43322"/>
    <w:rsid w:val="00E63374"/>
    <w:rsid w:val="00E770C2"/>
    <w:rsid w:val="00E976F0"/>
    <w:rsid w:val="00EE6966"/>
    <w:rsid w:val="00F06683"/>
    <w:rsid w:val="00F535CF"/>
    <w:rsid w:val="00F5369D"/>
    <w:rsid w:val="00FF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2F3E"/>
  <w15:docId w15:val="{56CDC6E4-91F2-4133-8121-C621050B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4472C4" w:themeColor="accent1"/>
      <w:sz w:val="18"/>
      <w:szCs w:val="18"/>
    </w:rPr>
  </w:style>
  <w:style w:type="paragraph" w:customStyle="1" w:styleId="ui-droppable">
    <w:name w:val="ui-droppable"/>
    <w:basedOn w:val="Normal"/>
    <w:rsid w:val="00964321"/>
    <w:pPr>
      <w:spacing w:before="100" w:beforeAutospacing="1" w:after="100" w:afterAutospacing="1"/>
    </w:pPr>
    <w:rPr>
      <w:rFonts w:ascii="Times New Roman" w:eastAsia="Times New Roman" w:hAnsi="Times New Roman" w:cs="Times New Roman"/>
      <w:sz w:val="24"/>
      <w:szCs w:val="24"/>
    </w:rPr>
  </w:style>
  <w:style w:type="character" w:customStyle="1" w:styleId="defaultparagraphfont">
    <w:name w:val="defaultparagraphfont"/>
    <w:basedOn w:val="Policepardfaut"/>
    <w:rsid w:val="00964321"/>
  </w:style>
  <w:style w:type="paragraph" w:styleId="Paragraphedeliste">
    <w:name w:val="List Paragraph"/>
    <w:basedOn w:val="Normal"/>
    <w:uiPriority w:val="99"/>
    <w:rsid w:val="00BD560F"/>
    <w:pPr>
      <w:ind w:left="720"/>
      <w:contextualSpacing/>
    </w:pPr>
    <w:rPr>
      <w:lang w:val="en-US" w:eastAsia="en-US"/>
    </w:rPr>
  </w:style>
  <w:style w:type="paragraph" w:customStyle="1" w:styleId="Default">
    <w:name w:val="Default"/>
    <w:rsid w:val="00BD560F"/>
    <w:pPr>
      <w:autoSpaceDE w:val="0"/>
      <w:autoSpaceDN w:val="0"/>
      <w:adjustRightInd w:val="0"/>
    </w:pPr>
    <w:rPr>
      <w:color w:val="000000"/>
      <w:sz w:val="24"/>
      <w:szCs w:val="24"/>
      <w:lang w:val="en-US" w:eastAsia="en-US"/>
    </w:rPr>
  </w:style>
  <w:style w:type="paragraph" w:customStyle="1" w:styleId="Decision">
    <w:name w:val="Decision"/>
    <w:basedOn w:val="Normal"/>
    <w:link w:val="DecisionChar"/>
    <w:qFormat/>
    <w:rsid w:val="004B580B"/>
    <w:pPr>
      <w:jc w:val="both"/>
    </w:pPr>
    <w:rPr>
      <w:rFonts w:eastAsiaTheme="minorHAnsi"/>
      <w:szCs w:val="22"/>
      <w:lang w:val="en-IE" w:eastAsia="en-US"/>
    </w:rPr>
  </w:style>
  <w:style w:type="character" w:customStyle="1" w:styleId="DecisionChar">
    <w:name w:val="Decision Char"/>
    <w:basedOn w:val="Policepardfaut"/>
    <w:link w:val="Decision"/>
    <w:rsid w:val="004B580B"/>
    <w:rPr>
      <w:rFonts w:eastAsiaTheme="minorHAnsi"/>
      <w:szCs w:val="22"/>
      <w:lang w:val="en-IE" w:eastAsia="en-US"/>
    </w:rPr>
  </w:style>
  <w:style w:type="paragraph" w:customStyle="1" w:styleId="Editable">
    <w:name w:val="Editable"/>
    <w:basedOn w:val="Decision"/>
    <w:link w:val="EditableChar"/>
    <w:qFormat/>
    <w:rsid w:val="00E770C2"/>
  </w:style>
  <w:style w:type="character" w:customStyle="1" w:styleId="EditableChar">
    <w:name w:val="Editable Char"/>
    <w:basedOn w:val="DecisionChar"/>
    <w:link w:val="Editable"/>
    <w:rsid w:val="00E770C2"/>
    <w:rPr>
      <w:rFonts w:eastAsiaTheme="minorHAnsi"/>
      <w:szCs w:val="22"/>
      <w:lang w:val="en-IE" w:eastAsia="en-US"/>
    </w:rPr>
  </w:style>
  <w:style w:type="character" w:styleId="Marquedecommentaire">
    <w:name w:val="annotation reference"/>
    <w:basedOn w:val="Policepardfaut"/>
    <w:uiPriority w:val="99"/>
    <w:semiHidden/>
    <w:unhideWhenUsed/>
    <w:rsid w:val="005F6F75"/>
    <w:rPr>
      <w:sz w:val="16"/>
      <w:szCs w:val="16"/>
    </w:rPr>
  </w:style>
  <w:style w:type="paragraph" w:styleId="Commentaire">
    <w:name w:val="annotation text"/>
    <w:basedOn w:val="Normal"/>
    <w:link w:val="CommentaireCar"/>
    <w:uiPriority w:val="99"/>
    <w:unhideWhenUsed/>
    <w:rsid w:val="005F6F75"/>
    <w:rPr>
      <w:sz w:val="20"/>
    </w:rPr>
  </w:style>
  <w:style w:type="character" w:customStyle="1" w:styleId="CommentaireCar">
    <w:name w:val="Commentaire Car"/>
    <w:basedOn w:val="Policepardfaut"/>
    <w:link w:val="Commentaire"/>
    <w:uiPriority w:val="99"/>
    <w:rsid w:val="005F6F75"/>
    <w:rPr>
      <w:sz w:val="20"/>
    </w:rPr>
  </w:style>
  <w:style w:type="paragraph" w:styleId="Objetducommentaire">
    <w:name w:val="annotation subject"/>
    <w:basedOn w:val="Commentaire"/>
    <w:next w:val="Commentaire"/>
    <w:link w:val="ObjetducommentaireCar"/>
    <w:uiPriority w:val="99"/>
    <w:semiHidden/>
    <w:unhideWhenUsed/>
    <w:rsid w:val="005F6F75"/>
    <w:rPr>
      <w:b/>
      <w:bCs/>
    </w:rPr>
  </w:style>
  <w:style w:type="character" w:customStyle="1" w:styleId="ObjetducommentaireCar">
    <w:name w:val="Objet du commentaire Car"/>
    <w:basedOn w:val="CommentaireCar"/>
    <w:link w:val="Objetducommentaire"/>
    <w:uiPriority w:val="99"/>
    <w:semiHidden/>
    <w:rsid w:val="005F6F75"/>
    <w:rPr>
      <w:b/>
      <w:bCs/>
      <w:sz w:val="20"/>
    </w:rPr>
  </w:style>
  <w:style w:type="paragraph" w:styleId="Rvision">
    <w:name w:val="Revision"/>
    <w:hidden/>
    <w:uiPriority w:val="99"/>
    <w:unhideWhenUsed/>
    <w:rsid w:val="00F06683"/>
  </w:style>
  <w:style w:type="paragraph" w:styleId="Pieddepage">
    <w:name w:val="footer"/>
    <w:basedOn w:val="Normal"/>
    <w:link w:val="PieddepageCar"/>
    <w:uiPriority w:val="99"/>
    <w:unhideWhenUsed/>
    <w:rsid w:val="00DF15FE"/>
    <w:pPr>
      <w:tabs>
        <w:tab w:val="center" w:pos="4680"/>
        <w:tab w:val="right" w:pos="9360"/>
      </w:tabs>
    </w:pPr>
  </w:style>
  <w:style w:type="character" w:customStyle="1" w:styleId="PieddepageCar">
    <w:name w:val="Pied de page Car"/>
    <w:basedOn w:val="Policepardfaut"/>
    <w:link w:val="Pieddepage"/>
    <w:uiPriority w:val="99"/>
    <w:rsid w:val="00DF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8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0146260885</Document_x0020_Identification_x0020_Number>
    <Description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UIPO Document" ma:contentTypeID="0x01010072F459D42A724BD1AB3224FA8710536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BEDB15-125C-4565-9B42-800B4E8A50CB}">
  <ds:schemaRefs>
    <ds:schemaRef ds:uri="http://schemas.microsoft.com/sharepoint/v3/contenttype/forms"/>
  </ds:schemaRefs>
</ds:datastoreItem>
</file>

<file path=customXml/itemProps2.xml><?xml version="1.0" encoding="utf-8"?>
<ds:datastoreItem xmlns:ds="http://schemas.openxmlformats.org/officeDocument/2006/customXml" ds:itemID="{AF785134-E283-417F-B333-439C62A48411}">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1D598DD1-B9F0-44B8-9044-51436843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4629</Words>
  <Characters>25463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B3199598-EN-CH.docx</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B3199598-EN-CH.docx</dc:title>
  <dc:creator>VAN DEN EEDE Edith Elisabeth</dc:creator>
  <cp:lastModifiedBy>Me Julie CURTO</cp:lastModifiedBy>
  <cp:revision>2</cp:revision>
  <dcterms:created xsi:type="dcterms:W3CDTF">2024-12-23T11:56:00Z</dcterms:created>
  <dcterms:modified xsi:type="dcterms:W3CDTF">2024-12-23T11:56:00Z</dcterms:modified>
</cp:coreProperties>
</file>